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4E7B" w14:textId="77777777" w:rsidR="00273FF0" w:rsidRDefault="00000000">
      <w:pPr>
        <w:spacing w:after="511"/>
        <w:ind w:left="-1215" w:right="-1200" w:firstLine="0"/>
      </w:pPr>
      <w:r>
        <w:rPr>
          <w:b w:val="0"/>
          <w:noProof/>
        </w:rPr>
        <mc:AlternateContent>
          <mc:Choice Requires="wpg">
            <w:drawing>
              <wp:inline distT="0" distB="0" distL="0" distR="0" wp14:anchorId="096E35E0" wp14:editId="641590DD">
                <wp:extent cx="7477125" cy="860425"/>
                <wp:effectExtent l="0" t="0" r="0" b="0"/>
                <wp:docPr id="9862" name="Group 9862"/>
                <wp:cNvGraphicFramePr/>
                <a:graphic xmlns:a="http://schemas.openxmlformats.org/drawingml/2006/main">
                  <a:graphicData uri="http://schemas.microsoft.com/office/word/2010/wordprocessingGroup">
                    <wpg:wgp>
                      <wpg:cNvGrpSpPr/>
                      <wpg:grpSpPr>
                        <a:xfrm>
                          <a:off x="0" y="0"/>
                          <a:ext cx="7477125" cy="860425"/>
                          <a:chOff x="0" y="0"/>
                          <a:chExt cx="7477125" cy="860425"/>
                        </a:xfrm>
                      </wpg:grpSpPr>
                      <wps:wsp>
                        <wps:cNvPr id="6" name="Rectangle 6"/>
                        <wps:cNvSpPr/>
                        <wps:spPr>
                          <a:xfrm>
                            <a:off x="2732913" y="50540"/>
                            <a:ext cx="50673" cy="184382"/>
                          </a:xfrm>
                          <a:prstGeom prst="rect">
                            <a:avLst/>
                          </a:prstGeom>
                          <a:ln>
                            <a:noFill/>
                          </a:ln>
                        </wps:spPr>
                        <wps:txbx>
                          <w:txbxContent>
                            <w:p w14:paraId="0B49AF26" w14:textId="77777777" w:rsidR="00273FF0" w:rsidRDefault="00000000">
                              <w:pPr>
                                <w:spacing w:after="160"/>
                                <w:ind w:left="0" w:right="0" w:firstLine="0"/>
                              </w:pPr>
                              <w:r>
                                <w:rPr>
                                  <w:rFonts w:ascii="Times New Roman" w:eastAsia="Times New Roman" w:hAnsi="Times New Roman" w:cs="Times New Roman"/>
                                  <w:b w:val="0"/>
                                  <w:sz w:val="24"/>
                                </w:rPr>
                                <w:t xml:space="preserve"> </w:t>
                              </w:r>
                            </w:p>
                          </w:txbxContent>
                        </wps:txbx>
                        <wps:bodyPr horzOverflow="overflow" vert="horz" lIns="0" tIns="0" rIns="0" bIns="0" rtlCol="0">
                          <a:noAutofit/>
                        </wps:bodyPr>
                      </wps:wsp>
                      <wps:wsp>
                        <wps:cNvPr id="7" name="Rectangle 7"/>
                        <wps:cNvSpPr/>
                        <wps:spPr>
                          <a:xfrm>
                            <a:off x="3132201" y="220063"/>
                            <a:ext cx="4286936" cy="202692"/>
                          </a:xfrm>
                          <a:prstGeom prst="rect">
                            <a:avLst/>
                          </a:prstGeom>
                          <a:ln>
                            <a:noFill/>
                          </a:ln>
                        </wps:spPr>
                        <wps:txbx>
                          <w:txbxContent>
                            <w:p w14:paraId="7E398630" w14:textId="77777777" w:rsidR="00273FF0" w:rsidRDefault="00000000">
                              <w:pPr>
                                <w:spacing w:after="160"/>
                                <w:ind w:left="0" w:right="0" w:firstLine="0"/>
                              </w:pPr>
                              <w:r>
                                <w:rPr>
                                  <w:rFonts w:ascii="Times New Roman" w:eastAsia="Times New Roman" w:hAnsi="Times New Roman" w:cs="Times New Roman"/>
                                  <w:b w:val="0"/>
                                  <w:w w:val="103"/>
                                  <w:sz w:val="24"/>
                                </w:rPr>
                                <w:t>‘Crawford</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House’</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23</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Church</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St.,</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Hamilton</w:t>
                              </w: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HM11</w:t>
                              </w:r>
                              <w:r>
                                <w:rPr>
                                  <w:rFonts w:ascii="Times New Roman" w:eastAsia="Times New Roman" w:hAnsi="Times New Roman" w:cs="Times New Roman"/>
                                  <w:b w:val="0"/>
                                  <w:spacing w:val="2"/>
                                  <w:w w:val="103"/>
                                  <w:sz w:val="24"/>
                                </w:rPr>
                                <w:t xml:space="preserve"> </w:t>
                              </w:r>
                            </w:p>
                          </w:txbxContent>
                        </wps:txbx>
                        <wps:bodyPr horzOverflow="overflow" vert="horz" lIns="0" tIns="0" rIns="0" bIns="0" rtlCol="0">
                          <a:noAutofit/>
                        </wps:bodyPr>
                      </wps:wsp>
                      <wps:wsp>
                        <wps:cNvPr id="8201" name="Rectangle 8201"/>
                        <wps:cNvSpPr/>
                        <wps:spPr>
                          <a:xfrm>
                            <a:off x="2949321" y="402944"/>
                            <a:ext cx="80266" cy="202692"/>
                          </a:xfrm>
                          <a:prstGeom prst="rect">
                            <a:avLst/>
                          </a:prstGeom>
                          <a:ln>
                            <a:noFill/>
                          </a:ln>
                        </wps:spPr>
                        <wps:txbx>
                          <w:txbxContent>
                            <w:p w14:paraId="7F3DD849"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8205" name="Rectangle 8205"/>
                        <wps:cNvSpPr/>
                        <wps:spPr>
                          <a:xfrm>
                            <a:off x="3010281" y="402944"/>
                            <a:ext cx="147763" cy="202692"/>
                          </a:xfrm>
                          <a:prstGeom prst="rect">
                            <a:avLst/>
                          </a:prstGeom>
                          <a:ln>
                            <a:noFill/>
                          </a:ln>
                        </wps:spPr>
                        <wps:txbx>
                          <w:txbxContent>
                            <w:p w14:paraId="37A6DCC9" w14:textId="77777777" w:rsidR="00273FF0" w:rsidRDefault="00000000">
                              <w:pPr>
                                <w:spacing w:after="160"/>
                                <w:ind w:left="0" w:right="0" w:firstLine="0"/>
                              </w:pPr>
                              <w:r>
                                <w:rPr>
                                  <w:rFonts w:ascii="Times New Roman" w:eastAsia="Times New Roman" w:hAnsi="Times New Roman" w:cs="Times New Roman"/>
                                  <w:color w:val="DFB580"/>
                                  <w:w w:val="119"/>
                                  <w:sz w:val="24"/>
                                </w:rPr>
                                <w:t>T</w:t>
                              </w:r>
                            </w:p>
                          </w:txbxContent>
                        </wps:txbx>
                        <wps:bodyPr horzOverflow="overflow" vert="horz" lIns="0" tIns="0" rIns="0" bIns="0" rtlCol="0">
                          <a:noAutofit/>
                        </wps:bodyPr>
                      </wps:wsp>
                      <wps:wsp>
                        <wps:cNvPr id="8204" name="Rectangle 8204"/>
                        <wps:cNvSpPr/>
                        <wps:spPr>
                          <a:xfrm>
                            <a:off x="3121533" y="402944"/>
                            <a:ext cx="80266" cy="202692"/>
                          </a:xfrm>
                          <a:prstGeom prst="rect">
                            <a:avLst/>
                          </a:prstGeom>
                          <a:ln>
                            <a:noFill/>
                          </a:ln>
                        </wps:spPr>
                        <wps:txbx>
                          <w:txbxContent>
                            <w:p w14:paraId="5D3480B2"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9" name="Rectangle 9"/>
                        <wps:cNvSpPr/>
                        <wps:spPr>
                          <a:xfrm>
                            <a:off x="3182493" y="402944"/>
                            <a:ext cx="52700" cy="202692"/>
                          </a:xfrm>
                          <a:prstGeom prst="rect">
                            <a:avLst/>
                          </a:prstGeom>
                          <a:ln>
                            <a:noFill/>
                          </a:ln>
                        </wps:spPr>
                        <wps:txbx>
                          <w:txbxContent>
                            <w:p w14:paraId="494BBB30" w14:textId="77777777" w:rsidR="00273FF0" w:rsidRDefault="00000000">
                              <w:pPr>
                                <w:spacing w:after="160"/>
                                <w:ind w:left="0" w:right="0" w:firstLine="0"/>
                              </w:pPr>
                              <w:r>
                                <w:rPr>
                                  <w:rFonts w:ascii="Times New Roman" w:eastAsia="Times New Roman" w:hAnsi="Times New Roman" w:cs="Times New Roman"/>
                                  <w:b w:val="0"/>
                                  <w:color w:val="DFB580"/>
                                  <w:sz w:val="24"/>
                                </w:rPr>
                                <w:t xml:space="preserve"> </w:t>
                              </w:r>
                            </w:p>
                          </w:txbxContent>
                        </wps:txbx>
                        <wps:bodyPr horzOverflow="overflow" vert="horz" lIns="0" tIns="0" rIns="0" bIns="0" rtlCol="0">
                          <a:noAutofit/>
                        </wps:bodyPr>
                      </wps:wsp>
                      <wps:wsp>
                        <wps:cNvPr id="8212" name="Rectangle 8212"/>
                        <wps:cNvSpPr/>
                        <wps:spPr>
                          <a:xfrm>
                            <a:off x="3222117" y="402944"/>
                            <a:ext cx="1183721" cy="202692"/>
                          </a:xfrm>
                          <a:prstGeom prst="rect">
                            <a:avLst/>
                          </a:prstGeom>
                          <a:ln>
                            <a:noFill/>
                          </a:ln>
                        </wps:spPr>
                        <wps:txbx>
                          <w:txbxContent>
                            <w:p w14:paraId="65248BDC" w14:textId="77777777" w:rsidR="00273FF0" w:rsidRDefault="00000000">
                              <w:pPr>
                                <w:spacing w:after="160"/>
                                <w:ind w:left="0" w:right="0" w:firstLine="0"/>
                              </w:pPr>
                              <w:r>
                                <w:rPr>
                                  <w:rFonts w:ascii="Times New Roman" w:eastAsia="Times New Roman" w:hAnsi="Times New Roman" w:cs="Times New Roman"/>
                                  <w:b w:val="0"/>
                                  <w:w w:val="103"/>
                                  <w:sz w:val="24"/>
                                </w:rPr>
                                <w:t>441-400-2100</w:t>
                              </w:r>
                            </w:p>
                          </w:txbxContent>
                        </wps:txbx>
                        <wps:bodyPr horzOverflow="overflow" vert="horz" lIns="0" tIns="0" rIns="0" bIns="0" rtlCol="0">
                          <a:noAutofit/>
                        </wps:bodyPr>
                      </wps:wsp>
                      <wps:wsp>
                        <wps:cNvPr id="8213" name="Rectangle 8213"/>
                        <wps:cNvSpPr/>
                        <wps:spPr>
                          <a:xfrm>
                            <a:off x="4112133" y="402944"/>
                            <a:ext cx="52700" cy="202692"/>
                          </a:xfrm>
                          <a:prstGeom prst="rect">
                            <a:avLst/>
                          </a:prstGeom>
                          <a:ln>
                            <a:noFill/>
                          </a:ln>
                        </wps:spPr>
                        <wps:txbx>
                          <w:txbxContent>
                            <w:p w14:paraId="64D3F017" w14:textId="77777777" w:rsidR="00273FF0" w:rsidRDefault="00000000">
                              <w:pPr>
                                <w:spacing w:after="160"/>
                                <w:ind w:left="0" w:right="0" w:firstLine="0"/>
                              </w:pPr>
                              <w:r>
                                <w:rPr>
                                  <w:rFonts w:ascii="Times New Roman" w:eastAsia="Times New Roman" w:hAnsi="Times New Roman" w:cs="Times New Roman"/>
                                  <w:b w:val="0"/>
                                  <w:sz w:val="24"/>
                                </w:rPr>
                                <w:t xml:space="preserve"> </w:t>
                              </w:r>
                            </w:p>
                          </w:txbxContent>
                        </wps:txbx>
                        <wps:bodyPr horzOverflow="overflow" vert="horz" lIns="0" tIns="0" rIns="0" bIns="0" rtlCol="0">
                          <a:noAutofit/>
                        </wps:bodyPr>
                      </wps:wsp>
                      <wps:wsp>
                        <wps:cNvPr id="8206" name="Rectangle 8206"/>
                        <wps:cNvSpPr/>
                        <wps:spPr>
                          <a:xfrm>
                            <a:off x="4151757" y="402944"/>
                            <a:ext cx="80266" cy="202692"/>
                          </a:xfrm>
                          <a:prstGeom prst="rect">
                            <a:avLst/>
                          </a:prstGeom>
                          <a:ln>
                            <a:noFill/>
                          </a:ln>
                        </wps:spPr>
                        <wps:txbx>
                          <w:txbxContent>
                            <w:p w14:paraId="1234E9EB"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8208" name="Rectangle 8208"/>
                        <wps:cNvSpPr/>
                        <wps:spPr>
                          <a:xfrm>
                            <a:off x="4212717" y="402944"/>
                            <a:ext cx="130939" cy="202692"/>
                          </a:xfrm>
                          <a:prstGeom prst="rect">
                            <a:avLst/>
                          </a:prstGeom>
                          <a:ln>
                            <a:noFill/>
                          </a:ln>
                        </wps:spPr>
                        <wps:txbx>
                          <w:txbxContent>
                            <w:p w14:paraId="4DE3A6D8" w14:textId="77777777" w:rsidR="00273FF0" w:rsidRDefault="00000000">
                              <w:pPr>
                                <w:spacing w:after="160"/>
                                <w:ind w:left="0" w:right="0" w:firstLine="0"/>
                              </w:pPr>
                              <w:r>
                                <w:rPr>
                                  <w:rFonts w:ascii="Times New Roman" w:eastAsia="Times New Roman" w:hAnsi="Times New Roman" w:cs="Times New Roman"/>
                                  <w:color w:val="DFB580"/>
                                  <w:w w:val="105"/>
                                  <w:sz w:val="24"/>
                                </w:rPr>
                                <w:t>E</w:t>
                              </w:r>
                            </w:p>
                          </w:txbxContent>
                        </wps:txbx>
                        <wps:bodyPr horzOverflow="overflow" vert="horz" lIns="0" tIns="0" rIns="0" bIns="0" rtlCol="0">
                          <a:noAutofit/>
                        </wps:bodyPr>
                      </wps:wsp>
                      <wps:wsp>
                        <wps:cNvPr id="8207" name="Rectangle 8207"/>
                        <wps:cNvSpPr/>
                        <wps:spPr>
                          <a:xfrm>
                            <a:off x="4311777" y="402944"/>
                            <a:ext cx="80266" cy="202692"/>
                          </a:xfrm>
                          <a:prstGeom prst="rect">
                            <a:avLst/>
                          </a:prstGeom>
                          <a:ln>
                            <a:noFill/>
                          </a:ln>
                        </wps:spPr>
                        <wps:txbx>
                          <w:txbxContent>
                            <w:p w14:paraId="4546892E"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12" name="Rectangle 12"/>
                        <wps:cNvSpPr/>
                        <wps:spPr>
                          <a:xfrm>
                            <a:off x="4372737" y="402944"/>
                            <a:ext cx="1272926" cy="202692"/>
                          </a:xfrm>
                          <a:prstGeom prst="rect">
                            <a:avLst/>
                          </a:prstGeom>
                          <a:ln>
                            <a:noFill/>
                          </a:ln>
                        </wps:spPr>
                        <wps:txbx>
                          <w:txbxContent>
                            <w:p w14:paraId="0E3687D4" w14:textId="77777777" w:rsidR="00273FF0" w:rsidRDefault="00000000">
                              <w:pPr>
                                <w:spacing w:after="160"/>
                                <w:ind w:left="0" w:right="0" w:firstLine="0"/>
                              </w:pPr>
                              <w:r>
                                <w:rPr>
                                  <w:rFonts w:ascii="Times New Roman" w:eastAsia="Times New Roman" w:hAnsi="Times New Roman" w:cs="Times New Roman"/>
                                  <w:b w:val="0"/>
                                  <w:spacing w:val="2"/>
                                  <w:w w:val="104"/>
                                  <w:sz w:val="24"/>
                                </w:rPr>
                                <w:t xml:space="preserve"> </w:t>
                              </w:r>
                              <w:r>
                                <w:rPr>
                                  <w:rFonts w:ascii="Times New Roman" w:eastAsia="Times New Roman" w:hAnsi="Times New Roman" w:cs="Times New Roman"/>
                                  <w:b w:val="0"/>
                                  <w:w w:val="104"/>
                                  <w:sz w:val="24"/>
                                </w:rPr>
                                <w:t>info@bgc.bm</w:t>
                              </w:r>
                              <w:r>
                                <w:rPr>
                                  <w:rFonts w:ascii="Times New Roman" w:eastAsia="Times New Roman" w:hAnsi="Times New Roman" w:cs="Times New Roman"/>
                                  <w:b w:val="0"/>
                                  <w:spacing w:val="2"/>
                                  <w:w w:val="104"/>
                                  <w:sz w:val="24"/>
                                </w:rPr>
                                <w:t xml:space="preserve"> </w:t>
                              </w:r>
                            </w:p>
                          </w:txbxContent>
                        </wps:txbx>
                        <wps:bodyPr horzOverflow="overflow" vert="horz" lIns="0" tIns="0" rIns="0" bIns="0" rtlCol="0">
                          <a:noAutofit/>
                        </wps:bodyPr>
                      </wps:wsp>
                      <wps:wsp>
                        <wps:cNvPr id="8209" name="Rectangle 8209"/>
                        <wps:cNvSpPr/>
                        <wps:spPr>
                          <a:xfrm>
                            <a:off x="5329824" y="402944"/>
                            <a:ext cx="80266" cy="202692"/>
                          </a:xfrm>
                          <a:prstGeom prst="rect">
                            <a:avLst/>
                          </a:prstGeom>
                          <a:ln>
                            <a:noFill/>
                          </a:ln>
                        </wps:spPr>
                        <wps:txbx>
                          <w:txbxContent>
                            <w:p w14:paraId="391EF899"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8211" name="Rectangle 8211"/>
                        <wps:cNvSpPr/>
                        <wps:spPr>
                          <a:xfrm>
                            <a:off x="5390784" y="402944"/>
                            <a:ext cx="204719" cy="202692"/>
                          </a:xfrm>
                          <a:prstGeom prst="rect">
                            <a:avLst/>
                          </a:prstGeom>
                          <a:ln>
                            <a:noFill/>
                          </a:ln>
                        </wps:spPr>
                        <wps:txbx>
                          <w:txbxContent>
                            <w:p w14:paraId="0600790C" w14:textId="77777777" w:rsidR="00273FF0" w:rsidRDefault="00000000">
                              <w:pPr>
                                <w:spacing w:after="160"/>
                                <w:ind w:left="0" w:right="0" w:firstLine="0"/>
                              </w:pPr>
                              <w:r>
                                <w:rPr>
                                  <w:rFonts w:ascii="Times New Roman" w:eastAsia="Times New Roman" w:hAnsi="Times New Roman" w:cs="Times New Roman"/>
                                  <w:color w:val="DFB580"/>
                                  <w:w w:val="107"/>
                                  <w:sz w:val="24"/>
                                </w:rPr>
                                <w:t>W</w:t>
                              </w:r>
                            </w:p>
                          </w:txbxContent>
                        </wps:txbx>
                        <wps:bodyPr horzOverflow="overflow" vert="horz" lIns="0" tIns="0" rIns="0" bIns="0" rtlCol="0">
                          <a:noAutofit/>
                        </wps:bodyPr>
                      </wps:wsp>
                      <wps:wsp>
                        <wps:cNvPr id="8210" name="Rectangle 8210"/>
                        <wps:cNvSpPr/>
                        <wps:spPr>
                          <a:xfrm>
                            <a:off x="5544708" y="402944"/>
                            <a:ext cx="80266" cy="202692"/>
                          </a:xfrm>
                          <a:prstGeom prst="rect">
                            <a:avLst/>
                          </a:prstGeom>
                          <a:ln>
                            <a:noFill/>
                          </a:ln>
                        </wps:spPr>
                        <wps:txbx>
                          <w:txbxContent>
                            <w:p w14:paraId="6CD1097B" w14:textId="77777777" w:rsidR="00273FF0" w:rsidRDefault="00000000">
                              <w:pPr>
                                <w:spacing w:after="160"/>
                                <w:ind w:left="0" w:right="0" w:firstLine="0"/>
                              </w:pPr>
                              <w:r>
                                <w:rPr>
                                  <w:rFonts w:ascii="Times New Roman" w:eastAsia="Times New Roman" w:hAnsi="Times New Roman" w:cs="Times New Roman"/>
                                  <w:color w:val="DFB580"/>
                                  <w:w w:val="118"/>
                                  <w:sz w:val="24"/>
                                </w:rPr>
                                <w:t>)</w:t>
                              </w:r>
                            </w:p>
                          </w:txbxContent>
                        </wps:txbx>
                        <wps:bodyPr horzOverflow="overflow" vert="horz" lIns="0" tIns="0" rIns="0" bIns="0" rtlCol="0">
                          <a:noAutofit/>
                        </wps:bodyPr>
                      </wps:wsp>
                      <wps:wsp>
                        <wps:cNvPr id="14" name="Rectangle 14"/>
                        <wps:cNvSpPr/>
                        <wps:spPr>
                          <a:xfrm>
                            <a:off x="5605653" y="402944"/>
                            <a:ext cx="1188384" cy="202692"/>
                          </a:xfrm>
                          <a:prstGeom prst="rect">
                            <a:avLst/>
                          </a:prstGeom>
                          <a:ln>
                            <a:noFill/>
                          </a:ln>
                        </wps:spPr>
                        <wps:txbx>
                          <w:txbxContent>
                            <w:p w14:paraId="1903B09D" w14:textId="77777777" w:rsidR="00273FF0" w:rsidRDefault="00000000">
                              <w:pPr>
                                <w:spacing w:after="160"/>
                                <w:ind w:left="0" w:right="0" w:firstLine="0"/>
                              </w:pPr>
                              <w:r>
                                <w:rPr>
                                  <w:rFonts w:ascii="Times New Roman" w:eastAsia="Times New Roman" w:hAnsi="Times New Roman" w:cs="Times New Roman"/>
                                  <w:b w:val="0"/>
                                  <w:spacing w:val="2"/>
                                  <w:w w:val="103"/>
                                  <w:sz w:val="24"/>
                                </w:rPr>
                                <w:t xml:space="preserve"> </w:t>
                              </w:r>
                              <w:r>
                                <w:rPr>
                                  <w:rFonts w:ascii="Times New Roman" w:eastAsia="Times New Roman" w:hAnsi="Times New Roman" w:cs="Times New Roman"/>
                                  <w:b w:val="0"/>
                                  <w:w w:val="103"/>
                                  <w:sz w:val="24"/>
                                </w:rPr>
                                <w:t>www.bgc.bm</w:t>
                              </w:r>
                            </w:p>
                          </w:txbxContent>
                        </wps:txbx>
                        <wps:bodyPr horzOverflow="overflow" vert="horz" lIns="0" tIns="0" rIns="0" bIns="0" rtlCol="0">
                          <a:noAutofit/>
                        </wps:bodyPr>
                      </wps:wsp>
                      <wps:wsp>
                        <wps:cNvPr id="15" name="Rectangle 15"/>
                        <wps:cNvSpPr/>
                        <wps:spPr>
                          <a:xfrm>
                            <a:off x="6498718" y="413252"/>
                            <a:ext cx="50673" cy="184382"/>
                          </a:xfrm>
                          <a:prstGeom prst="rect">
                            <a:avLst/>
                          </a:prstGeom>
                          <a:ln>
                            <a:noFill/>
                          </a:ln>
                        </wps:spPr>
                        <wps:txbx>
                          <w:txbxContent>
                            <w:p w14:paraId="065B8283" w14:textId="77777777" w:rsidR="00273FF0" w:rsidRDefault="00000000">
                              <w:pPr>
                                <w:spacing w:after="160"/>
                                <w:ind w:left="0" w:right="0" w:firstLine="0"/>
                              </w:pPr>
                              <w:r>
                                <w:rPr>
                                  <w:rFonts w:ascii="Times New Roman" w:eastAsia="Times New Roman" w:hAnsi="Times New Roman" w:cs="Times New Roman"/>
                                  <w:b w:val="0"/>
                                  <w:sz w:val="24"/>
                                </w:rPr>
                                <w:t xml:space="preserve"> </w:t>
                              </w:r>
                            </w:p>
                          </w:txbxContent>
                        </wps:txbx>
                        <wps:bodyPr horzOverflow="overflow" vert="horz" lIns="0" tIns="0" rIns="0" bIns="0" rtlCol="0">
                          <a:noAutofit/>
                        </wps:bodyPr>
                      </wps:wsp>
                      <wps:wsp>
                        <wps:cNvPr id="16" name="Rectangle 16"/>
                        <wps:cNvSpPr/>
                        <wps:spPr>
                          <a:xfrm>
                            <a:off x="2732914" y="591560"/>
                            <a:ext cx="50673" cy="184382"/>
                          </a:xfrm>
                          <a:prstGeom prst="rect">
                            <a:avLst/>
                          </a:prstGeom>
                          <a:ln>
                            <a:noFill/>
                          </a:ln>
                        </wps:spPr>
                        <wps:txbx>
                          <w:txbxContent>
                            <w:p w14:paraId="4F9DD58F" w14:textId="77777777" w:rsidR="00273FF0" w:rsidRDefault="00000000">
                              <w:pPr>
                                <w:spacing w:after="160"/>
                                <w:ind w:left="0" w:right="0" w:firstLine="0"/>
                              </w:pPr>
                              <w:r>
                                <w:rPr>
                                  <w:rFonts w:ascii="Times New Roman" w:eastAsia="Times New Roman" w:hAnsi="Times New Roman" w:cs="Times New Roman"/>
                                  <w:b w:val="0"/>
                                  <w:sz w:val="24"/>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323850" y="0"/>
                            <a:ext cx="2294255" cy="860425"/>
                          </a:xfrm>
                          <a:prstGeom prst="rect">
                            <a:avLst/>
                          </a:prstGeom>
                        </pic:spPr>
                      </pic:pic>
                      <wps:wsp>
                        <wps:cNvPr id="19" name="Shape 19"/>
                        <wps:cNvSpPr/>
                        <wps:spPr>
                          <a:xfrm>
                            <a:off x="0" y="724515"/>
                            <a:ext cx="7477125" cy="19050"/>
                          </a:xfrm>
                          <a:custGeom>
                            <a:avLst/>
                            <a:gdLst/>
                            <a:ahLst/>
                            <a:cxnLst/>
                            <a:rect l="0" t="0" r="0" b="0"/>
                            <a:pathLst>
                              <a:path w="7477125" h="19050">
                                <a:moveTo>
                                  <a:pt x="0" y="0"/>
                                </a:moveTo>
                                <a:lnTo>
                                  <a:pt x="7477125" y="19050"/>
                                </a:lnTo>
                              </a:path>
                            </a:pathLst>
                          </a:custGeom>
                          <a:ln w="28575" cap="flat">
                            <a:miter lim="101600"/>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62" style="width:588.75pt;height:67.75pt;mso-position-horizontal-relative:char;mso-position-vertical-relative:line" coordsize="74771,8604">
                <v:rect id="Rectangle 6" style="position:absolute;width:506;height:1843;left:27329;top:505;" filled="f" stroked="f">
                  <v:textbox inset="0,0,0,0">
                    <w:txbxContent>
                      <w:p>
                        <w:pPr>
                          <w:spacing w:before="0" w:after="160" w:line="259" w:lineRule="auto"/>
                          <w:ind w:left="0" w:right="0" w:firstLine="0"/>
                        </w:pPr>
                        <w:r>
                          <w:rPr>
                            <w:rFonts w:cs="Times New Roman" w:hAnsi="Times New Roman" w:eastAsia="Times New Roman" w:ascii="Times New Roman"/>
                            <w:b w:val="0"/>
                            <w:sz w:val="24"/>
                          </w:rPr>
                          <w:t xml:space="preserve"> </w:t>
                        </w:r>
                      </w:p>
                    </w:txbxContent>
                  </v:textbox>
                </v:rect>
                <v:rect id="Rectangle 7" style="position:absolute;width:42869;height:2026;left:31322;top:2200;" filled="f" stroked="f">
                  <v:textbox inset="0,0,0,0">
                    <w:txbxContent>
                      <w:p>
                        <w:pPr>
                          <w:spacing w:before="0" w:after="160" w:line="259" w:lineRule="auto"/>
                          <w:ind w:left="0" w:right="0" w:firstLine="0"/>
                        </w:pPr>
                        <w:r>
                          <w:rPr>
                            <w:rFonts w:cs="Times New Roman" w:hAnsi="Times New Roman" w:eastAsia="Times New Roman" w:ascii="Times New Roman"/>
                            <w:b w:val="0"/>
                            <w:w w:val="103"/>
                            <w:sz w:val="24"/>
                          </w:rPr>
                          <w:t xml:space="preserve">‘Crawford</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House’</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23</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Church</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St.,</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Hamilton</w:t>
                        </w: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HM11</w:t>
                        </w:r>
                        <w:r>
                          <w:rPr>
                            <w:rFonts w:cs="Times New Roman" w:hAnsi="Times New Roman" w:eastAsia="Times New Roman" w:ascii="Times New Roman"/>
                            <w:b w:val="0"/>
                            <w:spacing w:val="2"/>
                            <w:w w:val="103"/>
                            <w:sz w:val="24"/>
                          </w:rPr>
                          <w:t xml:space="preserve"> </w:t>
                        </w:r>
                      </w:p>
                    </w:txbxContent>
                  </v:textbox>
                </v:rect>
                <v:rect id="Rectangle 8201" style="position:absolute;width:802;height:2026;left:29493;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8205" style="position:absolute;width:1477;height:2026;left:30102;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9"/>
                            <w:sz w:val="24"/>
                          </w:rPr>
                          <w:t xml:space="preserve">T</w:t>
                        </w:r>
                      </w:p>
                    </w:txbxContent>
                  </v:textbox>
                </v:rect>
                <v:rect id="Rectangle 8204" style="position:absolute;width:802;height:2026;left:31215;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9" style="position:absolute;width:527;height:2026;left:31824;top:4029;" filled="f" stroked="f">
                  <v:textbox inset="0,0,0,0">
                    <w:txbxContent>
                      <w:p>
                        <w:pPr>
                          <w:spacing w:before="0" w:after="160" w:line="259" w:lineRule="auto"/>
                          <w:ind w:left="0" w:right="0" w:firstLine="0"/>
                        </w:pPr>
                        <w:r>
                          <w:rPr>
                            <w:rFonts w:cs="Times New Roman" w:hAnsi="Times New Roman" w:eastAsia="Times New Roman" w:ascii="Times New Roman"/>
                            <w:b w:val="0"/>
                            <w:color w:val="dfb580"/>
                            <w:sz w:val="24"/>
                          </w:rPr>
                          <w:t xml:space="preserve"> </w:t>
                        </w:r>
                      </w:p>
                    </w:txbxContent>
                  </v:textbox>
                </v:rect>
                <v:rect id="Rectangle 8212" style="position:absolute;width:11837;height:2026;left:32221;top:4029;" filled="f" stroked="f">
                  <v:textbox inset="0,0,0,0">
                    <w:txbxContent>
                      <w:p>
                        <w:pPr>
                          <w:spacing w:before="0" w:after="160" w:line="259" w:lineRule="auto"/>
                          <w:ind w:left="0" w:right="0" w:firstLine="0"/>
                        </w:pPr>
                        <w:r>
                          <w:rPr>
                            <w:rFonts w:cs="Times New Roman" w:hAnsi="Times New Roman" w:eastAsia="Times New Roman" w:ascii="Times New Roman"/>
                            <w:b w:val="0"/>
                            <w:w w:val="103"/>
                            <w:sz w:val="24"/>
                          </w:rPr>
                          <w:t xml:space="preserve">441-400-2100</w:t>
                        </w:r>
                      </w:p>
                    </w:txbxContent>
                  </v:textbox>
                </v:rect>
                <v:rect id="Rectangle 8213" style="position:absolute;width:527;height:2026;left:41121;top:4029;" filled="f" stroked="f">
                  <v:textbox inset="0,0,0,0">
                    <w:txbxContent>
                      <w:p>
                        <w:pPr>
                          <w:spacing w:before="0" w:after="160" w:line="259" w:lineRule="auto"/>
                          <w:ind w:left="0" w:right="0" w:firstLine="0"/>
                        </w:pPr>
                        <w:r>
                          <w:rPr>
                            <w:rFonts w:cs="Times New Roman" w:hAnsi="Times New Roman" w:eastAsia="Times New Roman" w:ascii="Times New Roman"/>
                            <w:b w:val="0"/>
                            <w:sz w:val="24"/>
                          </w:rPr>
                          <w:t xml:space="preserve"> </w:t>
                        </w:r>
                      </w:p>
                    </w:txbxContent>
                  </v:textbox>
                </v:rect>
                <v:rect id="Rectangle 8206" style="position:absolute;width:802;height:2026;left:41517;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8208" style="position:absolute;width:1309;height:2026;left:42127;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05"/>
                            <w:sz w:val="24"/>
                          </w:rPr>
                          <w:t xml:space="preserve">E</w:t>
                        </w:r>
                      </w:p>
                    </w:txbxContent>
                  </v:textbox>
                </v:rect>
                <v:rect id="Rectangle 8207" style="position:absolute;width:802;height:2026;left:43117;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12" style="position:absolute;width:12729;height:2026;left:43727;top:4029;" filled="f" stroked="f">
                  <v:textbox inset="0,0,0,0">
                    <w:txbxContent>
                      <w:p>
                        <w:pPr>
                          <w:spacing w:before="0" w:after="160" w:line="259" w:lineRule="auto"/>
                          <w:ind w:left="0" w:right="0" w:firstLine="0"/>
                        </w:pPr>
                        <w:r>
                          <w:rPr>
                            <w:rFonts w:cs="Times New Roman" w:hAnsi="Times New Roman" w:eastAsia="Times New Roman" w:ascii="Times New Roman"/>
                            <w:b w:val="0"/>
                            <w:spacing w:val="2"/>
                            <w:w w:val="104"/>
                            <w:sz w:val="24"/>
                          </w:rPr>
                          <w:t xml:space="preserve"> </w:t>
                        </w:r>
                        <w:r>
                          <w:rPr>
                            <w:rFonts w:cs="Times New Roman" w:hAnsi="Times New Roman" w:eastAsia="Times New Roman" w:ascii="Times New Roman"/>
                            <w:b w:val="0"/>
                            <w:w w:val="104"/>
                            <w:sz w:val="24"/>
                          </w:rPr>
                          <w:t xml:space="preserve">info@bgc.bm</w:t>
                        </w:r>
                        <w:r>
                          <w:rPr>
                            <w:rFonts w:cs="Times New Roman" w:hAnsi="Times New Roman" w:eastAsia="Times New Roman" w:ascii="Times New Roman"/>
                            <w:b w:val="0"/>
                            <w:spacing w:val="2"/>
                            <w:w w:val="104"/>
                            <w:sz w:val="24"/>
                          </w:rPr>
                          <w:t xml:space="preserve"> </w:t>
                        </w:r>
                      </w:p>
                    </w:txbxContent>
                  </v:textbox>
                </v:rect>
                <v:rect id="Rectangle 8209" style="position:absolute;width:802;height:2026;left:53298;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8211" style="position:absolute;width:2047;height:2026;left:53907;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07"/>
                            <w:sz w:val="24"/>
                          </w:rPr>
                          <w:t xml:space="preserve">W</w:t>
                        </w:r>
                      </w:p>
                    </w:txbxContent>
                  </v:textbox>
                </v:rect>
                <v:rect id="Rectangle 8210" style="position:absolute;width:802;height:2026;left:55447;top:4029;" filled="f" stroked="f">
                  <v:textbox inset="0,0,0,0">
                    <w:txbxContent>
                      <w:p>
                        <w:pPr>
                          <w:spacing w:before="0" w:after="160" w:line="259" w:lineRule="auto"/>
                          <w:ind w:left="0" w:right="0" w:firstLine="0"/>
                        </w:pPr>
                        <w:r>
                          <w:rPr>
                            <w:rFonts w:cs="Times New Roman" w:hAnsi="Times New Roman" w:eastAsia="Times New Roman" w:ascii="Times New Roman"/>
                            <w:color w:val="dfb580"/>
                            <w:w w:val="118"/>
                            <w:sz w:val="24"/>
                          </w:rPr>
                          <w:t xml:space="preserve">)</w:t>
                        </w:r>
                      </w:p>
                    </w:txbxContent>
                  </v:textbox>
                </v:rect>
                <v:rect id="Rectangle 14" style="position:absolute;width:11883;height:2026;left:56056;top:4029;" filled="f" stroked="f">
                  <v:textbox inset="0,0,0,0">
                    <w:txbxContent>
                      <w:p>
                        <w:pPr>
                          <w:spacing w:before="0" w:after="160" w:line="259" w:lineRule="auto"/>
                          <w:ind w:left="0" w:right="0" w:firstLine="0"/>
                        </w:pPr>
                        <w:r>
                          <w:rPr>
                            <w:rFonts w:cs="Times New Roman" w:hAnsi="Times New Roman" w:eastAsia="Times New Roman" w:ascii="Times New Roman"/>
                            <w:b w:val="0"/>
                            <w:spacing w:val="2"/>
                            <w:w w:val="103"/>
                            <w:sz w:val="24"/>
                          </w:rPr>
                          <w:t xml:space="preserve"> </w:t>
                        </w:r>
                        <w:r>
                          <w:rPr>
                            <w:rFonts w:cs="Times New Roman" w:hAnsi="Times New Roman" w:eastAsia="Times New Roman" w:ascii="Times New Roman"/>
                            <w:b w:val="0"/>
                            <w:w w:val="103"/>
                            <w:sz w:val="24"/>
                          </w:rPr>
                          <w:t xml:space="preserve">www.bgc.bm</w:t>
                        </w:r>
                      </w:p>
                    </w:txbxContent>
                  </v:textbox>
                </v:rect>
                <v:rect id="Rectangle 15" style="position:absolute;width:506;height:1843;left:64987;top:4132;" filled="f" stroked="f">
                  <v:textbox inset="0,0,0,0">
                    <w:txbxContent>
                      <w:p>
                        <w:pPr>
                          <w:spacing w:before="0" w:after="160" w:line="259" w:lineRule="auto"/>
                          <w:ind w:left="0" w:right="0" w:firstLine="0"/>
                        </w:pPr>
                        <w:r>
                          <w:rPr>
                            <w:rFonts w:cs="Times New Roman" w:hAnsi="Times New Roman" w:eastAsia="Times New Roman" w:ascii="Times New Roman"/>
                            <w:b w:val="0"/>
                            <w:sz w:val="24"/>
                          </w:rPr>
                          <w:t xml:space="preserve"> </w:t>
                        </w:r>
                      </w:p>
                    </w:txbxContent>
                  </v:textbox>
                </v:rect>
                <v:rect id="Rectangle 16" style="position:absolute;width:506;height:1843;left:27329;top:5915;" filled="f" stroked="f">
                  <v:textbox inset="0,0,0,0">
                    <w:txbxContent>
                      <w:p>
                        <w:pPr>
                          <w:spacing w:before="0" w:after="160" w:line="259" w:lineRule="auto"/>
                          <w:ind w:left="0" w:right="0" w:firstLine="0"/>
                        </w:pPr>
                        <w:r>
                          <w:rPr>
                            <w:rFonts w:cs="Times New Roman" w:hAnsi="Times New Roman" w:eastAsia="Times New Roman" w:ascii="Times New Roman"/>
                            <w:b w:val="0"/>
                            <w:sz w:val="24"/>
                          </w:rPr>
                          <w:t xml:space="preserve"> </w:t>
                        </w:r>
                      </w:p>
                    </w:txbxContent>
                  </v:textbox>
                </v:rect>
                <v:shape id="Picture 18" style="position:absolute;width:22942;height:8604;left:3238;top:0;" filled="f">
                  <v:imagedata r:id="rId8"/>
                </v:shape>
                <v:shape id="Shape 19" style="position:absolute;width:74771;height:190;left:0;top:7245;" coordsize="7477125,19050" path="m0,0l7477125,19050">
                  <v:stroke weight="2.25pt" endcap="flat" joinstyle="miter" miterlimit="8" on="true" color="#a6a6a6"/>
                  <v:fill on="false" color="#000000" opacity="0"/>
                </v:shape>
              </v:group>
            </w:pict>
          </mc:Fallback>
        </mc:AlternateContent>
      </w:r>
    </w:p>
    <w:p w14:paraId="3BF3A365" w14:textId="77777777" w:rsidR="00273FF0" w:rsidRDefault="00000000">
      <w:r>
        <w:t xml:space="preserve">PATI Information Statement 5 August 2025 </w:t>
      </w:r>
    </w:p>
    <w:tbl>
      <w:tblPr>
        <w:tblStyle w:val="TableGrid"/>
        <w:tblW w:w="10252" w:type="dxa"/>
        <w:tblInd w:w="-540" w:type="dxa"/>
        <w:tblCellMar>
          <w:top w:w="47" w:type="dxa"/>
          <w:left w:w="106" w:type="dxa"/>
          <w:bottom w:w="6" w:type="dxa"/>
          <w:right w:w="54" w:type="dxa"/>
        </w:tblCellMar>
        <w:tblLook w:val="04A0" w:firstRow="1" w:lastRow="0" w:firstColumn="1" w:lastColumn="0" w:noHBand="0" w:noVBand="1"/>
      </w:tblPr>
      <w:tblGrid>
        <w:gridCol w:w="10252"/>
      </w:tblGrid>
      <w:tr w:rsidR="00273FF0" w14:paraId="1C9A6166" w14:textId="77777777">
        <w:trPr>
          <w:trHeight w:val="646"/>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0CD023F3" w14:textId="77777777" w:rsidR="00273FF0" w:rsidRDefault="00000000">
            <w:pPr>
              <w:spacing w:after="0"/>
              <w:ind w:left="2" w:right="0" w:firstLine="0"/>
            </w:pPr>
            <w:r>
              <w:t xml:space="preserve">Name of Public Authority:  </w:t>
            </w:r>
          </w:p>
          <w:p w14:paraId="27FFD4FB" w14:textId="77777777" w:rsidR="00273FF0" w:rsidRDefault="00000000">
            <w:pPr>
              <w:spacing w:after="0"/>
              <w:ind w:left="2" w:right="0" w:firstLine="0"/>
            </w:pPr>
            <w:r>
              <w:t xml:space="preserve">Bermuda Gaming Commission (“the Commission”) </w:t>
            </w:r>
          </w:p>
        </w:tc>
      </w:tr>
      <w:tr w:rsidR="00273FF0" w14:paraId="158AABDA" w14:textId="77777777">
        <w:trPr>
          <w:trHeight w:val="10520"/>
        </w:trPr>
        <w:tc>
          <w:tcPr>
            <w:tcW w:w="10252" w:type="dxa"/>
            <w:tcBorders>
              <w:top w:val="single" w:sz="4" w:space="0" w:color="000000"/>
              <w:left w:val="single" w:sz="4" w:space="0" w:color="000000"/>
              <w:bottom w:val="single" w:sz="4" w:space="0" w:color="000000"/>
              <w:right w:val="single" w:sz="4" w:space="0" w:color="000000"/>
            </w:tcBorders>
            <w:vAlign w:val="bottom"/>
          </w:tcPr>
          <w:p w14:paraId="69975314" w14:textId="77777777" w:rsidR="00273FF0" w:rsidRDefault="00000000">
            <w:pPr>
              <w:spacing w:after="98"/>
              <w:ind w:left="2" w:right="0" w:firstLine="0"/>
            </w:pPr>
            <w:r>
              <w:rPr>
                <w:u w:val="single" w:color="000000"/>
              </w:rPr>
              <w:t>Introduction:</w:t>
            </w:r>
            <w:r>
              <w:t xml:space="preserve"> </w:t>
            </w:r>
          </w:p>
          <w:p w14:paraId="6D5B1BFA" w14:textId="77777777" w:rsidR="00273FF0" w:rsidRDefault="00000000">
            <w:pPr>
              <w:spacing w:after="118" w:line="239" w:lineRule="auto"/>
              <w:ind w:left="2" w:right="46" w:firstLine="0"/>
              <w:jc w:val="both"/>
            </w:pPr>
            <w:r>
              <w:rPr>
                <w:b w:val="0"/>
              </w:rPr>
              <w:t xml:space="preserve">The Public Access to Information Act 2010 (“the PATI Act”) grants the Bermuda public the right to obtain access to information held by public authorities to the greatest extent possible, subject to exceptions that are in the public interest or for the protection of the rights of others. It is designed to increase transparency with respect to the activities of public authorities and their decision-making process. It is further designed to hold public authorities to a high standard of accountability.  </w:t>
            </w:r>
          </w:p>
          <w:p w14:paraId="5B4D2D5F" w14:textId="77777777" w:rsidR="00273FF0" w:rsidRDefault="00000000">
            <w:pPr>
              <w:spacing w:after="120" w:line="239" w:lineRule="auto"/>
              <w:ind w:left="2" w:right="49" w:firstLine="0"/>
              <w:jc w:val="both"/>
            </w:pPr>
            <w:r>
              <w:rPr>
                <w:b w:val="0"/>
              </w:rPr>
              <w:t xml:space="preserve">By law, the PATI Act requires each public authority to publish its own Information Statement which describes its organization, functions, policies, and procedures and provide a contact person to whom requests are to be directed. </w:t>
            </w:r>
          </w:p>
          <w:p w14:paraId="3AD2708D" w14:textId="77777777" w:rsidR="00273FF0" w:rsidRDefault="00000000">
            <w:pPr>
              <w:spacing w:after="120" w:line="239" w:lineRule="auto"/>
              <w:ind w:left="2" w:right="0" w:firstLine="0"/>
              <w:jc w:val="both"/>
            </w:pPr>
            <w:r>
              <w:rPr>
                <w:b w:val="0"/>
              </w:rPr>
              <w:t xml:space="preserve">The purpose of this Information Statement is to fulfil those requirements and provide a general overview, outlining the information held by the Commission which the public are entitled to access.  </w:t>
            </w:r>
          </w:p>
          <w:p w14:paraId="36349F4D" w14:textId="77777777" w:rsidR="00273FF0" w:rsidRDefault="00000000">
            <w:pPr>
              <w:spacing w:after="120" w:line="239" w:lineRule="auto"/>
              <w:ind w:left="2" w:right="0" w:firstLine="0"/>
              <w:jc w:val="both"/>
            </w:pPr>
            <w:r>
              <w:rPr>
                <w:b w:val="0"/>
              </w:rPr>
              <w:t xml:space="preserve">The Information Statement is divided into several different categories to assist the public in accessing the information that they are seeking: </w:t>
            </w:r>
          </w:p>
          <w:p w14:paraId="1BD00ACB" w14:textId="77777777" w:rsidR="00273FF0" w:rsidRDefault="00000000">
            <w:pPr>
              <w:spacing w:after="98"/>
              <w:ind w:left="2" w:right="0" w:firstLine="0"/>
            </w:pPr>
            <w:r>
              <w:t>Section A</w:t>
            </w:r>
            <w:r>
              <w:rPr>
                <w:b w:val="0"/>
              </w:rPr>
              <w:t xml:space="preserve"> deals with the structure, organization, and legislation of the Commission. </w:t>
            </w:r>
          </w:p>
          <w:p w14:paraId="173ABB9B" w14:textId="77777777" w:rsidR="00273FF0" w:rsidRDefault="00000000">
            <w:pPr>
              <w:spacing w:after="98"/>
              <w:ind w:left="2" w:right="0" w:firstLine="0"/>
            </w:pPr>
            <w:r>
              <w:t>Section B</w:t>
            </w:r>
            <w:r>
              <w:rPr>
                <w:b w:val="0"/>
              </w:rPr>
              <w:t xml:space="preserve"> describes the functions, powers and duties of the Commission and its obligations under the PATI Act. </w:t>
            </w:r>
          </w:p>
          <w:p w14:paraId="433BE314" w14:textId="77777777" w:rsidR="00273FF0" w:rsidRDefault="00000000">
            <w:pPr>
              <w:spacing w:after="98"/>
              <w:ind w:left="1" w:right="0" w:firstLine="0"/>
            </w:pPr>
            <w:r>
              <w:t>Section C</w:t>
            </w:r>
            <w:r>
              <w:rPr>
                <w:b w:val="0"/>
              </w:rPr>
              <w:t xml:space="preserve"> covers the services performed by the Commission. </w:t>
            </w:r>
          </w:p>
          <w:p w14:paraId="6B8351D3" w14:textId="77777777" w:rsidR="00273FF0" w:rsidRDefault="00000000">
            <w:pPr>
              <w:spacing w:after="95"/>
              <w:ind w:left="1" w:right="0" w:firstLine="0"/>
            </w:pPr>
            <w:r>
              <w:t>Section D</w:t>
            </w:r>
            <w:r>
              <w:rPr>
                <w:b w:val="0"/>
              </w:rPr>
              <w:t xml:space="preserve"> outlines the records and documents held by the Commission. </w:t>
            </w:r>
          </w:p>
          <w:p w14:paraId="27E70A82" w14:textId="77777777" w:rsidR="00273FF0" w:rsidRDefault="00000000">
            <w:pPr>
              <w:spacing w:after="98"/>
              <w:ind w:left="1" w:right="0" w:firstLine="0"/>
            </w:pPr>
            <w:r>
              <w:t>Section E</w:t>
            </w:r>
            <w:r>
              <w:rPr>
                <w:b w:val="0"/>
              </w:rPr>
              <w:t xml:space="preserve"> lists any administrative manuals used by the Commission. </w:t>
            </w:r>
          </w:p>
          <w:p w14:paraId="658AE4A2" w14:textId="77777777" w:rsidR="00273FF0" w:rsidRDefault="00000000">
            <w:pPr>
              <w:spacing w:after="98"/>
              <w:ind w:left="1" w:right="0" w:firstLine="0"/>
            </w:pPr>
            <w:r>
              <w:t>Section F</w:t>
            </w:r>
            <w:r>
              <w:rPr>
                <w:b w:val="0"/>
              </w:rPr>
              <w:t xml:space="preserve"> describes any other decision-making documents held by the Commission. </w:t>
            </w:r>
          </w:p>
          <w:p w14:paraId="1C71F8AA" w14:textId="77777777" w:rsidR="00273FF0" w:rsidRDefault="00000000">
            <w:pPr>
              <w:spacing w:after="98"/>
              <w:ind w:left="1" w:right="0" w:firstLine="0"/>
            </w:pPr>
            <w:r>
              <w:t>Section G</w:t>
            </w:r>
            <w:r>
              <w:rPr>
                <w:b w:val="0"/>
              </w:rPr>
              <w:t xml:space="preserve"> provides the name and contact details of the Information Officer for the Commission. </w:t>
            </w:r>
          </w:p>
          <w:p w14:paraId="5B5D551E" w14:textId="77777777" w:rsidR="00273FF0" w:rsidRDefault="00000000">
            <w:pPr>
              <w:spacing w:after="98"/>
              <w:ind w:left="0" w:right="0" w:firstLine="0"/>
            </w:pPr>
            <w:r>
              <w:t>Section H</w:t>
            </w:r>
            <w:r>
              <w:rPr>
                <w:b w:val="0"/>
              </w:rPr>
              <w:t xml:space="preserve"> contains any other relevant information held by the Commission. </w:t>
            </w:r>
          </w:p>
          <w:p w14:paraId="2697450E" w14:textId="77777777" w:rsidR="00273FF0" w:rsidRDefault="00000000">
            <w:pPr>
              <w:spacing w:after="218"/>
              <w:ind w:left="0" w:right="0" w:firstLine="0"/>
            </w:pPr>
            <w:r>
              <w:t>Section I</w:t>
            </w:r>
            <w:r>
              <w:rPr>
                <w:b w:val="0"/>
              </w:rPr>
              <w:t xml:space="preserve"> explains where copies of the Information Statement may be obtained.</w:t>
            </w:r>
            <w:r>
              <w:t xml:space="preserve">  </w:t>
            </w:r>
          </w:p>
          <w:p w14:paraId="1440E5CF" w14:textId="77777777" w:rsidR="00273FF0" w:rsidRDefault="00000000">
            <w:pPr>
              <w:spacing w:after="98"/>
              <w:ind w:left="0" w:right="0" w:firstLine="0"/>
            </w:pPr>
            <w:r>
              <w:rPr>
                <w:u w:val="single" w:color="000000"/>
              </w:rPr>
              <w:t>Information that may be withheld:</w:t>
            </w:r>
            <w:r>
              <w:t xml:space="preserve"> </w:t>
            </w:r>
          </w:p>
          <w:p w14:paraId="18BCE0C3" w14:textId="77777777" w:rsidR="00273FF0" w:rsidRDefault="00000000">
            <w:pPr>
              <w:spacing w:after="147" w:line="239" w:lineRule="auto"/>
              <w:ind w:left="2" w:right="47" w:firstLine="0"/>
              <w:jc w:val="both"/>
            </w:pPr>
            <w:r>
              <w:rPr>
                <w:b w:val="0"/>
              </w:rPr>
              <w:t xml:space="preserve">In maintaining this Information Statement, our aim is to be as transparent as possible. However, there may be limited circumstances where information will be withheld. Section 37 of the PATI Act provides that a record is exempt if its disclosure is prohibited by any statutory provision other than the PATI Act.  Thus, circumstances prescribed in sections 189, 189A, 189B, 190 and 191 as read with Schedule 2 of the Gaming Act 2014 (“the Act”) permit some records and information received, gathered, stored, </w:t>
            </w:r>
            <w:proofErr w:type="spellStart"/>
            <w:r>
              <w:rPr>
                <w:b w:val="0"/>
              </w:rPr>
              <w:t>analysed</w:t>
            </w:r>
            <w:proofErr w:type="spellEnd"/>
            <w:r>
              <w:rPr>
                <w:b w:val="0"/>
              </w:rPr>
              <w:t xml:space="preserve">, and disseminated by the Commission to be exempt from disclosure.  This includes: </w:t>
            </w:r>
          </w:p>
          <w:p w14:paraId="210752E9" w14:textId="77777777" w:rsidR="00273FF0" w:rsidRDefault="00000000">
            <w:pPr>
              <w:numPr>
                <w:ilvl w:val="0"/>
                <w:numId w:val="1"/>
              </w:numPr>
              <w:spacing w:after="0"/>
              <w:ind w:right="0" w:hanging="360"/>
            </w:pPr>
            <w:r>
              <w:rPr>
                <w:b w:val="0"/>
              </w:rPr>
              <w:t xml:space="preserve">Some information about the affairs of the Commission </w:t>
            </w:r>
          </w:p>
          <w:p w14:paraId="310485B8" w14:textId="77777777" w:rsidR="00273FF0" w:rsidRDefault="00000000">
            <w:pPr>
              <w:numPr>
                <w:ilvl w:val="0"/>
                <w:numId w:val="1"/>
              </w:numPr>
              <w:spacing w:after="0"/>
              <w:ind w:right="0" w:hanging="360"/>
            </w:pPr>
            <w:r>
              <w:rPr>
                <w:b w:val="0"/>
              </w:rPr>
              <w:t xml:space="preserve">Some information about the affairs of a member, officer, employee, agent of the Commission </w:t>
            </w:r>
          </w:p>
        </w:tc>
      </w:tr>
    </w:tbl>
    <w:p w14:paraId="03EF9308" w14:textId="77777777" w:rsidR="00273FF0" w:rsidRDefault="00273FF0">
      <w:pPr>
        <w:spacing w:after="0"/>
        <w:ind w:left="-1440" w:right="10800" w:firstLine="0"/>
      </w:pPr>
    </w:p>
    <w:tbl>
      <w:tblPr>
        <w:tblStyle w:val="TableGrid"/>
        <w:tblW w:w="10252" w:type="dxa"/>
        <w:tblInd w:w="-540" w:type="dxa"/>
        <w:tblCellMar>
          <w:top w:w="47" w:type="dxa"/>
          <w:left w:w="108" w:type="dxa"/>
          <w:bottom w:w="6" w:type="dxa"/>
          <w:right w:w="54" w:type="dxa"/>
        </w:tblCellMar>
        <w:tblLook w:val="04A0" w:firstRow="1" w:lastRow="0" w:firstColumn="1" w:lastColumn="0" w:noHBand="0" w:noVBand="1"/>
      </w:tblPr>
      <w:tblGrid>
        <w:gridCol w:w="10252"/>
      </w:tblGrid>
      <w:tr w:rsidR="00273FF0" w14:paraId="131E1994" w14:textId="77777777">
        <w:trPr>
          <w:trHeight w:val="1844"/>
        </w:trPr>
        <w:tc>
          <w:tcPr>
            <w:tcW w:w="10252" w:type="dxa"/>
            <w:tcBorders>
              <w:top w:val="single" w:sz="4" w:space="0" w:color="000000"/>
              <w:left w:val="single" w:sz="4" w:space="0" w:color="000000"/>
              <w:bottom w:val="single" w:sz="4" w:space="0" w:color="000000"/>
              <w:right w:val="single" w:sz="4" w:space="0" w:color="000000"/>
            </w:tcBorders>
          </w:tcPr>
          <w:p w14:paraId="18E83C4D" w14:textId="77777777" w:rsidR="00273FF0" w:rsidRDefault="00000000">
            <w:pPr>
              <w:spacing w:after="120" w:line="240" w:lineRule="auto"/>
              <w:ind w:left="720" w:right="0" w:hanging="360"/>
              <w:jc w:val="both"/>
            </w:pPr>
            <w:r>
              <w:rPr>
                <w:rFonts w:ascii="Segoe UI Symbol" w:eastAsia="Segoe UI Symbol" w:hAnsi="Segoe UI Symbol" w:cs="Segoe UI Symbol"/>
                <w:b w:val="0"/>
              </w:rPr>
              <w:t>•</w:t>
            </w:r>
            <w:r>
              <w:rPr>
                <w:rFonts w:ascii="Arial" w:eastAsia="Arial" w:hAnsi="Arial" w:cs="Arial"/>
                <w:b w:val="0"/>
              </w:rPr>
              <w:t xml:space="preserve"> </w:t>
            </w:r>
            <w:r>
              <w:rPr>
                <w:b w:val="0"/>
              </w:rPr>
              <w:t xml:space="preserve">Some information obtained by a person in the performance of statutory duties or exercise of statutory functions </w:t>
            </w:r>
          </w:p>
          <w:p w14:paraId="205E17C3" w14:textId="77777777" w:rsidR="00273FF0" w:rsidRDefault="00000000">
            <w:pPr>
              <w:spacing w:after="98"/>
              <w:ind w:left="0" w:right="0" w:firstLine="0"/>
            </w:pPr>
            <w:r>
              <w:rPr>
                <w:b w:val="0"/>
              </w:rPr>
              <w:t xml:space="preserve"> </w:t>
            </w:r>
          </w:p>
          <w:p w14:paraId="54C259BF" w14:textId="77777777" w:rsidR="00273FF0" w:rsidRDefault="00000000">
            <w:pPr>
              <w:spacing w:after="98"/>
              <w:ind w:left="0" w:right="0" w:firstLine="0"/>
            </w:pPr>
            <w:r>
              <w:rPr>
                <w:b w:val="0"/>
              </w:rPr>
              <w:t xml:space="preserve">Whenever information is withheld, the Commission will provide the lawful basis for the decision.  </w:t>
            </w:r>
          </w:p>
          <w:p w14:paraId="3EF9E049" w14:textId="77777777" w:rsidR="00273FF0" w:rsidRDefault="00000000">
            <w:pPr>
              <w:spacing w:after="0"/>
              <w:ind w:left="0" w:right="0" w:firstLine="0"/>
            </w:pPr>
            <w:r>
              <w:rPr>
                <w:b w:val="0"/>
              </w:rPr>
              <w:t xml:space="preserve"> </w:t>
            </w:r>
          </w:p>
        </w:tc>
      </w:tr>
      <w:tr w:rsidR="00273FF0" w14:paraId="06D1139A" w14:textId="77777777">
        <w:trPr>
          <w:trHeight w:val="624"/>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04C7FA11" w14:textId="77777777" w:rsidR="00273FF0" w:rsidRDefault="00000000">
            <w:pPr>
              <w:spacing w:after="0"/>
              <w:ind w:left="0" w:right="0" w:firstLine="0"/>
            </w:pPr>
            <w:r>
              <w:t xml:space="preserve">Section A: Structure, Organization and Legislation [s. 5(1)(a) PATI Act] </w:t>
            </w:r>
          </w:p>
        </w:tc>
      </w:tr>
      <w:tr w:rsidR="00273FF0" w14:paraId="478E3C9B" w14:textId="77777777">
        <w:trPr>
          <w:trHeight w:val="9688"/>
        </w:trPr>
        <w:tc>
          <w:tcPr>
            <w:tcW w:w="10252" w:type="dxa"/>
            <w:tcBorders>
              <w:top w:val="single" w:sz="4" w:space="0" w:color="000000"/>
              <w:left w:val="single" w:sz="4" w:space="0" w:color="000000"/>
              <w:bottom w:val="single" w:sz="4" w:space="0" w:color="000000"/>
              <w:right w:val="single" w:sz="4" w:space="0" w:color="000000"/>
            </w:tcBorders>
            <w:vAlign w:val="bottom"/>
          </w:tcPr>
          <w:p w14:paraId="1DE9C1FB" w14:textId="77777777" w:rsidR="00273FF0" w:rsidRDefault="00000000">
            <w:pPr>
              <w:spacing w:after="98"/>
              <w:ind w:left="0" w:right="0" w:firstLine="0"/>
            </w:pPr>
            <w:r>
              <w:rPr>
                <w:u w:val="single" w:color="000000"/>
              </w:rPr>
              <w:t>Structure:</w:t>
            </w:r>
            <w:r>
              <w:t xml:space="preserve"> </w:t>
            </w:r>
          </w:p>
          <w:p w14:paraId="2BC37527" w14:textId="77777777" w:rsidR="00273FF0" w:rsidRDefault="00000000">
            <w:pPr>
              <w:spacing w:after="0" w:line="239" w:lineRule="auto"/>
              <w:ind w:left="0" w:right="0" w:firstLine="0"/>
            </w:pPr>
            <w:r>
              <w:rPr>
                <w:b w:val="0"/>
              </w:rPr>
              <w:t xml:space="preserve">Section 7 of the Act prescribes the constitution of the Commission.  The Commission must consist of the following five (5) members:  </w:t>
            </w:r>
          </w:p>
          <w:p w14:paraId="04723123" w14:textId="77777777" w:rsidR="00273FF0" w:rsidRDefault="00000000">
            <w:pPr>
              <w:spacing w:after="0"/>
              <w:ind w:left="0" w:right="0" w:firstLine="0"/>
            </w:pPr>
            <w:r>
              <w:rPr>
                <w:b w:val="0"/>
              </w:rPr>
              <w:t xml:space="preserve"> </w:t>
            </w:r>
          </w:p>
          <w:p w14:paraId="2BD3C8A2" w14:textId="77777777" w:rsidR="00273FF0" w:rsidRDefault="00000000">
            <w:pPr>
              <w:numPr>
                <w:ilvl w:val="0"/>
                <w:numId w:val="2"/>
              </w:numPr>
              <w:spacing w:after="0" w:line="239" w:lineRule="auto"/>
              <w:ind w:right="888" w:firstLine="0"/>
            </w:pPr>
            <w:r>
              <w:rPr>
                <w:b w:val="0"/>
              </w:rPr>
              <w:t xml:space="preserve">a Chairman who shall be a barrister with no fewer than five years post-              qualification </w:t>
            </w:r>
            <w:proofErr w:type="gramStart"/>
            <w:r>
              <w:rPr>
                <w:b w:val="0"/>
              </w:rPr>
              <w:t>experience;</w:t>
            </w:r>
            <w:proofErr w:type="gramEnd"/>
            <w:r>
              <w:rPr>
                <w:b w:val="0"/>
              </w:rPr>
              <w:t xml:space="preserve"> </w:t>
            </w:r>
          </w:p>
          <w:p w14:paraId="76C4BC2D" w14:textId="77777777" w:rsidR="00273FF0" w:rsidRDefault="00000000">
            <w:pPr>
              <w:spacing w:after="0"/>
              <w:ind w:left="0" w:right="0" w:firstLine="0"/>
            </w:pPr>
            <w:r>
              <w:rPr>
                <w:b w:val="0"/>
              </w:rPr>
              <w:t xml:space="preserve">  </w:t>
            </w:r>
          </w:p>
          <w:p w14:paraId="7473F591" w14:textId="77777777" w:rsidR="00273FF0" w:rsidRDefault="00000000">
            <w:pPr>
              <w:numPr>
                <w:ilvl w:val="0"/>
                <w:numId w:val="2"/>
              </w:numPr>
              <w:spacing w:after="2"/>
              <w:ind w:right="888" w:firstLine="0"/>
            </w:pPr>
            <w:r>
              <w:rPr>
                <w:b w:val="0"/>
              </w:rPr>
              <w:t xml:space="preserve">four other members including—  </w:t>
            </w:r>
          </w:p>
          <w:p w14:paraId="1FA0B92F" w14:textId="77777777" w:rsidR="00273FF0" w:rsidRDefault="00000000">
            <w:pPr>
              <w:numPr>
                <w:ilvl w:val="1"/>
                <w:numId w:val="2"/>
              </w:numPr>
              <w:spacing w:after="27" w:line="239" w:lineRule="auto"/>
              <w:ind w:right="0" w:hanging="360"/>
            </w:pPr>
            <w:r>
              <w:rPr>
                <w:b w:val="0"/>
              </w:rPr>
              <w:t xml:space="preserve">one person who shall be a public accountant registered or deemed to be registered under the Chartered Professional Accountants of Bermuda Act </w:t>
            </w:r>
            <w:proofErr w:type="gramStart"/>
            <w:r>
              <w:rPr>
                <w:b w:val="0"/>
              </w:rPr>
              <w:t>1973;</w:t>
            </w:r>
            <w:proofErr w:type="gramEnd"/>
            <w:r>
              <w:rPr>
                <w:b w:val="0"/>
              </w:rPr>
              <w:t xml:space="preserve"> </w:t>
            </w:r>
          </w:p>
          <w:p w14:paraId="73ECFD23" w14:textId="77777777" w:rsidR="00273FF0" w:rsidRDefault="00000000">
            <w:pPr>
              <w:numPr>
                <w:ilvl w:val="1"/>
                <w:numId w:val="2"/>
              </w:numPr>
              <w:spacing w:after="27" w:line="239" w:lineRule="auto"/>
              <w:ind w:right="0" w:hanging="360"/>
            </w:pPr>
            <w:r>
              <w:rPr>
                <w:b w:val="0"/>
              </w:rPr>
              <w:t xml:space="preserve">one person who shall have a background in law enforcement or anti-money laundering or antiterrorist financing or compliance </w:t>
            </w:r>
            <w:proofErr w:type="gramStart"/>
            <w:r>
              <w:rPr>
                <w:b w:val="0"/>
              </w:rPr>
              <w:t>issues;</w:t>
            </w:r>
            <w:proofErr w:type="gramEnd"/>
            <w:r>
              <w:rPr>
                <w:b w:val="0"/>
              </w:rPr>
              <w:t xml:space="preserve">  </w:t>
            </w:r>
          </w:p>
          <w:p w14:paraId="65B82957" w14:textId="77777777" w:rsidR="00273FF0" w:rsidRDefault="00000000">
            <w:pPr>
              <w:numPr>
                <w:ilvl w:val="1"/>
                <w:numId w:val="2"/>
              </w:numPr>
              <w:spacing w:after="0"/>
              <w:ind w:right="0" w:hanging="360"/>
            </w:pPr>
            <w:r>
              <w:rPr>
                <w:b w:val="0"/>
              </w:rPr>
              <w:t xml:space="preserve">one person who shall have a background in the tourism or hospitality industry. </w:t>
            </w:r>
          </w:p>
          <w:p w14:paraId="6516D1BC" w14:textId="77777777" w:rsidR="00273FF0" w:rsidRDefault="00000000">
            <w:pPr>
              <w:spacing w:after="0"/>
              <w:ind w:left="0" w:right="0" w:firstLine="0"/>
            </w:pPr>
            <w:r>
              <w:rPr>
                <w:b w:val="0"/>
              </w:rPr>
              <w:t xml:space="preserve"> </w:t>
            </w:r>
          </w:p>
          <w:p w14:paraId="3778FF0D" w14:textId="77777777" w:rsidR="00273FF0" w:rsidRDefault="00000000">
            <w:pPr>
              <w:spacing w:after="2" w:line="237" w:lineRule="auto"/>
              <w:ind w:left="0" w:right="0" w:firstLine="0"/>
            </w:pPr>
            <w:r>
              <w:rPr>
                <w:b w:val="0"/>
              </w:rPr>
              <w:t xml:space="preserve">Schedule 1 of the Act (“Constitution and Proceedings of Commission”) has effect with respect to the Commission, its members, and its proceedings.  </w:t>
            </w:r>
          </w:p>
          <w:p w14:paraId="37DD62D3" w14:textId="77777777" w:rsidR="00273FF0" w:rsidRDefault="00000000">
            <w:pPr>
              <w:spacing w:after="0"/>
              <w:ind w:left="0" w:right="0" w:firstLine="0"/>
            </w:pPr>
            <w:r>
              <w:rPr>
                <w:b w:val="0"/>
              </w:rPr>
              <w:t xml:space="preserve"> </w:t>
            </w:r>
          </w:p>
          <w:p w14:paraId="43250EF8" w14:textId="77777777" w:rsidR="00273FF0" w:rsidRDefault="00000000">
            <w:pPr>
              <w:spacing w:after="0" w:line="240" w:lineRule="auto"/>
              <w:ind w:left="0" w:right="4757" w:firstLine="0"/>
            </w:pPr>
            <w:r>
              <w:rPr>
                <w:u w:val="single" w:color="000000"/>
              </w:rPr>
              <w:t>Current Members of the Commission (s. 7 of the Act):</w:t>
            </w:r>
            <w:r>
              <w:t xml:space="preserve"> </w:t>
            </w:r>
            <w:r>
              <w:rPr>
                <w:b w:val="0"/>
              </w:rPr>
              <w:t xml:space="preserve">Mrs. Cheryl-Ann Mapp (Chairman) </w:t>
            </w:r>
          </w:p>
          <w:p w14:paraId="7FBC2385" w14:textId="77777777" w:rsidR="00273FF0" w:rsidRDefault="00000000">
            <w:pPr>
              <w:spacing w:after="0"/>
              <w:ind w:left="0" w:right="0" w:firstLine="0"/>
            </w:pPr>
            <w:r>
              <w:rPr>
                <w:b w:val="0"/>
              </w:rPr>
              <w:t xml:space="preserve">Mrs. Judith Hall-Bean (Deputy Chairman) </w:t>
            </w:r>
          </w:p>
          <w:p w14:paraId="6FABA6F1" w14:textId="77777777" w:rsidR="00273FF0" w:rsidRDefault="00000000">
            <w:pPr>
              <w:spacing w:after="0" w:line="239" w:lineRule="auto"/>
              <w:ind w:left="0" w:right="7076" w:firstLine="0"/>
            </w:pPr>
            <w:r>
              <w:rPr>
                <w:b w:val="0"/>
              </w:rPr>
              <w:t xml:space="preserve">Mr. Daniel Reece (Member) Mrs. Michelle Cardwell (Member) Mr. George Dowling III (Member) </w:t>
            </w:r>
          </w:p>
          <w:p w14:paraId="27304EAF" w14:textId="77777777" w:rsidR="00273FF0" w:rsidRDefault="00000000">
            <w:pPr>
              <w:spacing w:after="0"/>
              <w:ind w:left="0" w:right="0" w:firstLine="0"/>
            </w:pPr>
            <w:r>
              <w:t xml:space="preserve"> </w:t>
            </w:r>
          </w:p>
          <w:p w14:paraId="03474F0B" w14:textId="77777777" w:rsidR="00273FF0" w:rsidRDefault="00000000">
            <w:pPr>
              <w:spacing w:after="0"/>
              <w:ind w:left="0" w:right="0" w:firstLine="0"/>
            </w:pPr>
            <w:r>
              <w:rPr>
                <w:u w:val="single" w:color="000000"/>
              </w:rPr>
              <w:t>Current Employees of the Commission (s. 12 of the Act):</w:t>
            </w:r>
            <w:r>
              <w:t xml:space="preserve">  </w:t>
            </w:r>
          </w:p>
          <w:p w14:paraId="61B006B3" w14:textId="77777777" w:rsidR="00273FF0" w:rsidRDefault="00000000">
            <w:pPr>
              <w:spacing w:after="0"/>
              <w:ind w:left="0" w:right="0" w:firstLine="0"/>
            </w:pPr>
            <w:r>
              <w:rPr>
                <w:b w:val="0"/>
              </w:rPr>
              <w:t xml:space="preserve">Chief Executive </w:t>
            </w:r>
          </w:p>
          <w:p w14:paraId="38FDF997" w14:textId="77777777" w:rsidR="00273FF0" w:rsidRDefault="00000000">
            <w:pPr>
              <w:spacing w:after="0"/>
              <w:ind w:left="0" w:right="0" w:firstLine="0"/>
            </w:pPr>
            <w:r>
              <w:rPr>
                <w:b w:val="0"/>
              </w:rPr>
              <w:t xml:space="preserve">Chief Financial Officer </w:t>
            </w:r>
          </w:p>
          <w:p w14:paraId="025CEA4E" w14:textId="77777777" w:rsidR="00273FF0" w:rsidRDefault="00000000">
            <w:pPr>
              <w:spacing w:after="0"/>
              <w:ind w:left="0" w:right="0" w:firstLine="0"/>
            </w:pPr>
            <w:r>
              <w:rPr>
                <w:b w:val="0"/>
              </w:rPr>
              <w:t xml:space="preserve">Executive Administrator  </w:t>
            </w:r>
          </w:p>
          <w:p w14:paraId="41955AA6" w14:textId="77777777" w:rsidR="00273FF0" w:rsidRDefault="00000000">
            <w:pPr>
              <w:spacing w:after="0" w:line="239" w:lineRule="auto"/>
              <w:ind w:left="0" w:right="3386" w:firstLine="0"/>
            </w:pPr>
            <w:r>
              <w:rPr>
                <w:b w:val="0"/>
              </w:rPr>
              <w:t xml:space="preserve">Policy Manager and Director of Problem and Responsible Gaming Licensing Inspector </w:t>
            </w:r>
          </w:p>
          <w:p w14:paraId="19C36182" w14:textId="77777777" w:rsidR="00273FF0" w:rsidRDefault="00000000">
            <w:pPr>
              <w:spacing w:after="0"/>
              <w:ind w:left="0" w:right="0" w:firstLine="0"/>
            </w:pPr>
            <w:r>
              <w:rPr>
                <w:b w:val="0"/>
              </w:rPr>
              <w:t xml:space="preserve"> </w:t>
            </w:r>
          </w:p>
          <w:p w14:paraId="7780827A" w14:textId="77777777" w:rsidR="00273FF0" w:rsidRDefault="00000000">
            <w:pPr>
              <w:spacing w:after="0"/>
              <w:ind w:left="0" w:right="0" w:firstLine="0"/>
            </w:pPr>
            <w:r>
              <w:rPr>
                <w:b w:val="0"/>
              </w:rPr>
              <w:t xml:space="preserve"> </w:t>
            </w:r>
          </w:p>
          <w:p w14:paraId="181A82C0" w14:textId="77777777" w:rsidR="00273FF0" w:rsidRDefault="00000000">
            <w:pPr>
              <w:spacing w:after="0"/>
              <w:ind w:left="0" w:right="0" w:firstLine="0"/>
            </w:pPr>
            <w:r>
              <w:rPr>
                <w:u w:val="single" w:color="000000"/>
              </w:rPr>
              <w:t>Problem Gaming Council (s. 147 of the Act):</w:t>
            </w:r>
            <w:r>
              <w:t xml:space="preserve"> </w:t>
            </w:r>
          </w:p>
          <w:p w14:paraId="4C16C01D" w14:textId="77777777" w:rsidR="00273FF0" w:rsidRDefault="00000000">
            <w:pPr>
              <w:spacing w:after="0"/>
              <w:ind w:left="0" w:right="0" w:firstLine="0"/>
            </w:pPr>
            <w:r>
              <w:rPr>
                <w:b w:val="0"/>
              </w:rPr>
              <w:t xml:space="preserve">Chairman: Mrs. Judith Hall-Bean </w:t>
            </w:r>
          </w:p>
          <w:p w14:paraId="1FD4F380" w14:textId="77777777" w:rsidR="00273FF0" w:rsidRDefault="00000000">
            <w:pPr>
              <w:spacing w:after="0"/>
              <w:ind w:left="0" w:right="0" w:firstLine="0"/>
            </w:pPr>
            <w:r>
              <w:rPr>
                <w:b w:val="0"/>
              </w:rPr>
              <w:t xml:space="preserve">Member: Mr. Leslie Grant </w:t>
            </w:r>
          </w:p>
        </w:tc>
      </w:tr>
    </w:tbl>
    <w:p w14:paraId="36B7EE9C" w14:textId="77777777" w:rsidR="00273FF0" w:rsidRDefault="00273FF0">
      <w:pPr>
        <w:spacing w:after="0"/>
        <w:ind w:left="-1440" w:right="10800" w:firstLine="0"/>
      </w:pPr>
    </w:p>
    <w:tbl>
      <w:tblPr>
        <w:tblStyle w:val="TableGrid"/>
        <w:tblW w:w="10255" w:type="dxa"/>
        <w:tblInd w:w="-542" w:type="dxa"/>
        <w:tblCellMar>
          <w:top w:w="48" w:type="dxa"/>
          <w:left w:w="110" w:type="dxa"/>
          <w:bottom w:w="0" w:type="dxa"/>
          <w:right w:w="115" w:type="dxa"/>
        </w:tblCellMar>
        <w:tblLook w:val="04A0" w:firstRow="1" w:lastRow="0" w:firstColumn="1" w:lastColumn="0" w:noHBand="0" w:noVBand="1"/>
      </w:tblPr>
      <w:tblGrid>
        <w:gridCol w:w="10255"/>
      </w:tblGrid>
      <w:tr w:rsidR="00273FF0" w14:paraId="1B8B003E" w14:textId="77777777">
        <w:trPr>
          <w:trHeight w:val="12300"/>
        </w:trPr>
        <w:tc>
          <w:tcPr>
            <w:tcW w:w="10255" w:type="dxa"/>
            <w:tcBorders>
              <w:top w:val="single" w:sz="4" w:space="0" w:color="000000"/>
              <w:left w:val="single" w:sz="4" w:space="0" w:color="000000"/>
              <w:bottom w:val="single" w:sz="4" w:space="0" w:color="000000"/>
              <w:right w:val="single" w:sz="4" w:space="0" w:color="000000"/>
            </w:tcBorders>
          </w:tcPr>
          <w:p w14:paraId="4949AA84" w14:textId="77777777" w:rsidR="00273FF0" w:rsidRDefault="00000000">
            <w:pPr>
              <w:spacing w:after="0"/>
              <w:ind w:left="0" w:right="0" w:firstLine="0"/>
            </w:pPr>
            <w:r>
              <w:rPr>
                <w:b w:val="0"/>
              </w:rPr>
              <w:lastRenderedPageBreak/>
              <w:t xml:space="preserve">Member: Dr. Sharon </w:t>
            </w:r>
            <w:proofErr w:type="spellStart"/>
            <w:r>
              <w:rPr>
                <w:b w:val="0"/>
              </w:rPr>
              <w:t>Apopa</w:t>
            </w:r>
            <w:proofErr w:type="spellEnd"/>
            <w:r>
              <w:rPr>
                <w:b w:val="0"/>
              </w:rPr>
              <w:t xml:space="preserve"> </w:t>
            </w:r>
          </w:p>
          <w:p w14:paraId="2A1F6D9C" w14:textId="77777777" w:rsidR="00273FF0" w:rsidRDefault="00000000">
            <w:pPr>
              <w:spacing w:after="0"/>
              <w:ind w:left="0" w:right="0" w:firstLine="0"/>
            </w:pPr>
            <w:r>
              <w:rPr>
                <w:b w:val="0"/>
              </w:rPr>
              <w:t xml:space="preserve">Member: Mr. Kevin Monkman </w:t>
            </w:r>
          </w:p>
          <w:p w14:paraId="12BCC37B" w14:textId="77777777" w:rsidR="00273FF0" w:rsidRDefault="00000000">
            <w:pPr>
              <w:spacing w:after="0"/>
              <w:ind w:left="0" w:right="0" w:firstLine="0"/>
            </w:pPr>
            <w:r>
              <w:rPr>
                <w:b w:val="0"/>
              </w:rPr>
              <w:t xml:space="preserve">Member: Mr. Calvin Smith </w:t>
            </w:r>
          </w:p>
          <w:p w14:paraId="6EA3F5EF" w14:textId="77777777" w:rsidR="00273FF0" w:rsidRDefault="00000000">
            <w:pPr>
              <w:spacing w:after="0"/>
              <w:ind w:left="0" w:right="0" w:firstLine="0"/>
            </w:pPr>
            <w:r>
              <w:rPr>
                <w:b w:val="0"/>
              </w:rPr>
              <w:t xml:space="preserve">Member: Ms. Letitia Washington </w:t>
            </w:r>
          </w:p>
          <w:p w14:paraId="231ED121" w14:textId="77777777" w:rsidR="00273FF0" w:rsidRDefault="00000000">
            <w:pPr>
              <w:spacing w:after="0"/>
              <w:ind w:left="0" w:right="0" w:firstLine="0"/>
            </w:pPr>
            <w:r>
              <w:rPr>
                <w:b w:val="0"/>
              </w:rPr>
              <w:t xml:space="preserve"> </w:t>
            </w:r>
          </w:p>
          <w:p w14:paraId="7049A9D7" w14:textId="77777777" w:rsidR="00273FF0" w:rsidRDefault="00000000">
            <w:pPr>
              <w:spacing w:after="0"/>
              <w:ind w:left="0" w:right="0" w:firstLine="0"/>
            </w:pPr>
            <w:r>
              <w:rPr>
                <w:b w:val="0"/>
              </w:rPr>
              <w:t xml:space="preserve">Director of Problem &amp; Responsible Gaming: Mr. Nathan Lawrence </w:t>
            </w:r>
          </w:p>
          <w:p w14:paraId="5505888D" w14:textId="77777777" w:rsidR="00273FF0" w:rsidRDefault="00000000">
            <w:pPr>
              <w:spacing w:after="0"/>
              <w:ind w:left="0" w:right="0" w:firstLine="0"/>
            </w:pPr>
            <w:r>
              <w:rPr>
                <w:b w:val="0"/>
              </w:rPr>
              <w:t xml:space="preserve"> </w:t>
            </w:r>
          </w:p>
          <w:p w14:paraId="50547558" w14:textId="77777777" w:rsidR="00273FF0" w:rsidRDefault="00000000">
            <w:pPr>
              <w:spacing w:after="0"/>
              <w:ind w:left="0" w:right="0" w:firstLine="0"/>
            </w:pPr>
            <w:r>
              <w:rPr>
                <w:b w:val="0"/>
              </w:rPr>
              <w:t xml:space="preserve"> </w:t>
            </w:r>
          </w:p>
          <w:p w14:paraId="53268EEE" w14:textId="77777777" w:rsidR="00273FF0" w:rsidRDefault="00000000">
            <w:pPr>
              <w:spacing w:after="0"/>
              <w:ind w:left="0" w:right="0" w:firstLine="0"/>
            </w:pPr>
            <w:r>
              <w:rPr>
                <w:u w:val="single" w:color="000000"/>
              </w:rPr>
              <w:t>Legislation (Acts, Amendment Acts, Regulations, Rules, Orders and Notices):</w:t>
            </w:r>
            <w:r>
              <w:t xml:space="preserve"> </w:t>
            </w:r>
          </w:p>
          <w:p w14:paraId="094611C3" w14:textId="77777777" w:rsidR="00273FF0" w:rsidRDefault="00000000">
            <w:pPr>
              <w:spacing w:after="5"/>
              <w:ind w:left="0" w:right="0" w:firstLine="0"/>
            </w:pPr>
            <w:r>
              <w:t xml:space="preserve"> </w:t>
            </w:r>
          </w:p>
          <w:p w14:paraId="60241C63" w14:textId="77777777" w:rsidR="00273FF0" w:rsidRDefault="00000000">
            <w:pPr>
              <w:numPr>
                <w:ilvl w:val="0"/>
                <w:numId w:val="3"/>
              </w:numPr>
              <w:spacing w:after="97"/>
              <w:ind w:right="0" w:firstLine="0"/>
            </w:pPr>
            <w:r>
              <w:rPr>
                <w:b w:val="0"/>
              </w:rPr>
              <w:t xml:space="preserve">Anti-Terrorism (Financial and Other Measures) Act 2004 </w:t>
            </w:r>
          </w:p>
          <w:p w14:paraId="6461E4CB" w14:textId="77777777" w:rsidR="00273FF0" w:rsidRDefault="00000000">
            <w:pPr>
              <w:numPr>
                <w:ilvl w:val="0"/>
                <w:numId w:val="3"/>
              </w:numPr>
              <w:spacing w:after="100"/>
              <w:ind w:right="0" w:firstLine="0"/>
            </w:pPr>
            <w:r>
              <w:rPr>
                <w:b w:val="0"/>
              </w:rPr>
              <w:t xml:space="preserve">Betting Act 2021 </w:t>
            </w:r>
          </w:p>
          <w:p w14:paraId="1A932FFE" w14:textId="77777777" w:rsidR="00273FF0" w:rsidRDefault="00000000">
            <w:pPr>
              <w:numPr>
                <w:ilvl w:val="0"/>
                <w:numId w:val="3"/>
              </w:numPr>
              <w:spacing w:after="99"/>
              <w:ind w:right="0" w:firstLine="0"/>
            </w:pPr>
            <w:r>
              <w:rPr>
                <w:b w:val="0"/>
              </w:rPr>
              <w:t xml:space="preserve">Criminal Code Act 1907 </w:t>
            </w:r>
          </w:p>
          <w:p w14:paraId="1BA4DA80" w14:textId="77777777" w:rsidR="00273FF0" w:rsidRDefault="00000000">
            <w:pPr>
              <w:numPr>
                <w:ilvl w:val="0"/>
                <w:numId w:val="3"/>
              </w:numPr>
              <w:spacing w:after="99"/>
              <w:ind w:right="0" w:firstLine="0"/>
            </w:pPr>
            <w:r>
              <w:rPr>
                <w:b w:val="0"/>
              </w:rPr>
              <w:t xml:space="preserve">Criminal Jurisdiction and Procedure Act 2015 </w:t>
            </w:r>
          </w:p>
          <w:p w14:paraId="1E5F0EF5" w14:textId="77777777" w:rsidR="00273FF0" w:rsidRDefault="00000000">
            <w:pPr>
              <w:numPr>
                <w:ilvl w:val="0"/>
                <w:numId w:val="3"/>
              </w:numPr>
              <w:spacing w:after="99"/>
              <w:ind w:right="0" w:firstLine="0"/>
            </w:pPr>
            <w:r>
              <w:rPr>
                <w:b w:val="0"/>
              </w:rPr>
              <w:t xml:space="preserve">Financial Intelligence Agency Act 2007 </w:t>
            </w:r>
          </w:p>
          <w:p w14:paraId="3FCD9828" w14:textId="77777777" w:rsidR="00273FF0" w:rsidRDefault="00000000">
            <w:pPr>
              <w:numPr>
                <w:ilvl w:val="0"/>
                <w:numId w:val="3"/>
              </w:numPr>
              <w:spacing w:after="97"/>
              <w:ind w:right="0" w:firstLine="0"/>
            </w:pPr>
            <w:r>
              <w:rPr>
                <w:b w:val="0"/>
              </w:rPr>
              <w:t xml:space="preserve">Gaming (Casino Fees) Regulations 2017 </w:t>
            </w:r>
          </w:p>
          <w:p w14:paraId="4D53177D" w14:textId="77777777" w:rsidR="00273FF0" w:rsidRDefault="00000000">
            <w:pPr>
              <w:numPr>
                <w:ilvl w:val="0"/>
                <w:numId w:val="3"/>
              </w:numPr>
              <w:spacing w:after="99"/>
              <w:ind w:right="0" w:firstLine="0"/>
            </w:pPr>
            <w:r>
              <w:rPr>
                <w:b w:val="0"/>
              </w:rPr>
              <w:t xml:space="preserve">Gaming (Casino Fees) Amended Regulations 2020 </w:t>
            </w:r>
          </w:p>
          <w:p w14:paraId="07B8F1E7" w14:textId="77777777" w:rsidR="00273FF0" w:rsidRDefault="00000000">
            <w:pPr>
              <w:numPr>
                <w:ilvl w:val="0"/>
                <w:numId w:val="3"/>
              </w:numPr>
              <w:spacing w:after="99"/>
              <w:ind w:right="0" w:firstLine="0"/>
            </w:pPr>
            <w:r>
              <w:rPr>
                <w:b w:val="0"/>
              </w:rPr>
              <w:t xml:space="preserve">Gaming (Casino </w:t>
            </w:r>
            <w:proofErr w:type="spellStart"/>
            <w:r>
              <w:rPr>
                <w:b w:val="0"/>
              </w:rPr>
              <w:t>Licence</w:t>
            </w:r>
            <w:proofErr w:type="spellEnd"/>
            <w:r>
              <w:rPr>
                <w:b w:val="0"/>
              </w:rPr>
              <w:t xml:space="preserve"> Application) Regulations 2017 </w:t>
            </w:r>
          </w:p>
          <w:p w14:paraId="5D24D613" w14:textId="77777777" w:rsidR="00273FF0" w:rsidRDefault="00000000">
            <w:pPr>
              <w:numPr>
                <w:ilvl w:val="0"/>
                <w:numId w:val="3"/>
              </w:numPr>
              <w:spacing w:after="99"/>
              <w:ind w:right="0" w:firstLine="0"/>
            </w:pPr>
            <w:r>
              <w:rPr>
                <w:b w:val="0"/>
              </w:rPr>
              <w:t xml:space="preserve">Gaming (Designated Site) Order 2016 </w:t>
            </w:r>
          </w:p>
          <w:p w14:paraId="693588B7" w14:textId="77777777" w:rsidR="00273FF0" w:rsidRDefault="00000000">
            <w:pPr>
              <w:numPr>
                <w:ilvl w:val="0"/>
                <w:numId w:val="3"/>
              </w:numPr>
              <w:spacing w:after="97"/>
              <w:ind w:right="0" w:firstLine="0"/>
            </w:pPr>
            <w:r>
              <w:rPr>
                <w:b w:val="0"/>
              </w:rPr>
              <w:t xml:space="preserve">Gaming (Designated Site) (No.2) Order 2016 </w:t>
            </w:r>
          </w:p>
          <w:p w14:paraId="45CAD150" w14:textId="77777777" w:rsidR="00273FF0" w:rsidRDefault="00000000">
            <w:pPr>
              <w:numPr>
                <w:ilvl w:val="0"/>
                <w:numId w:val="3"/>
              </w:numPr>
              <w:spacing w:after="99"/>
              <w:ind w:right="0" w:firstLine="0"/>
            </w:pPr>
            <w:r>
              <w:rPr>
                <w:b w:val="0"/>
              </w:rPr>
              <w:t xml:space="preserve">Gaming (Designated Sites) Regulations 2016 </w:t>
            </w:r>
          </w:p>
          <w:p w14:paraId="10CCB512" w14:textId="77777777" w:rsidR="00273FF0" w:rsidRDefault="00000000">
            <w:pPr>
              <w:numPr>
                <w:ilvl w:val="0"/>
                <w:numId w:val="3"/>
              </w:numPr>
              <w:spacing w:after="99"/>
              <w:ind w:right="0" w:firstLine="0"/>
            </w:pPr>
            <w:r>
              <w:rPr>
                <w:b w:val="0"/>
              </w:rPr>
              <w:t xml:space="preserve">Gaming (General Reserve and Casino Taxes) Regulations 2017 </w:t>
            </w:r>
          </w:p>
          <w:p w14:paraId="184B2033" w14:textId="77777777" w:rsidR="00273FF0" w:rsidRDefault="00000000">
            <w:pPr>
              <w:numPr>
                <w:ilvl w:val="0"/>
                <w:numId w:val="3"/>
              </w:numPr>
              <w:spacing w:after="99"/>
              <w:ind w:right="0" w:firstLine="0"/>
            </w:pPr>
            <w:r>
              <w:rPr>
                <w:b w:val="0"/>
              </w:rPr>
              <w:t xml:space="preserve">Gaming Act 2014 Commencement Day (No. 2) Notice 2015 </w:t>
            </w:r>
          </w:p>
          <w:p w14:paraId="151F01E6" w14:textId="77777777" w:rsidR="00273FF0" w:rsidRDefault="00000000">
            <w:pPr>
              <w:numPr>
                <w:ilvl w:val="0"/>
                <w:numId w:val="3"/>
              </w:numPr>
              <w:spacing w:after="99"/>
              <w:ind w:right="0" w:firstLine="0"/>
            </w:pPr>
            <w:r>
              <w:rPr>
                <w:b w:val="0"/>
              </w:rPr>
              <w:t xml:space="preserve">Gaming Act 2014 Commencement Day (No. 3) Notice 2015 </w:t>
            </w:r>
          </w:p>
          <w:p w14:paraId="61987EF6" w14:textId="77777777" w:rsidR="00273FF0" w:rsidRDefault="00000000">
            <w:pPr>
              <w:numPr>
                <w:ilvl w:val="0"/>
                <w:numId w:val="3"/>
              </w:numPr>
              <w:spacing w:after="96"/>
              <w:ind w:right="0" w:firstLine="0"/>
            </w:pPr>
            <w:r>
              <w:rPr>
                <w:b w:val="0"/>
              </w:rPr>
              <w:t xml:space="preserve">Gaming Act 2014 Commencement Day Notice 2015 </w:t>
            </w:r>
          </w:p>
          <w:p w14:paraId="324B9C3A" w14:textId="77777777" w:rsidR="00273FF0" w:rsidRDefault="00000000">
            <w:pPr>
              <w:numPr>
                <w:ilvl w:val="0"/>
                <w:numId w:val="3"/>
              </w:numPr>
              <w:spacing w:after="99"/>
              <w:ind w:right="0" w:firstLine="0"/>
            </w:pPr>
            <w:r>
              <w:rPr>
                <w:b w:val="0"/>
              </w:rPr>
              <w:t xml:space="preserve">Gaming Act 2014 Commencement Day Notice 2017 </w:t>
            </w:r>
          </w:p>
          <w:p w14:paraId="19B53663" w14:textId="77777777" w:rsidR="00273FF0" w:rsidRDefault="00000000">
            <w:pPr>
              <w:numPr>
                <w:ilvl w:val="0"/>
                <w:numId w:val="3"/>
              </w:numPr>
              <w:spacing w:after="99"/>
              <w:ind w:right="0" w:firstLine="0"/>
            </w:pPr>
            <w:r>
              <w:rPr>
                <w:b w:val="0"/>
              </w:rPr>
              <w:t xml:space="preserve">Gaming Act 2014 </w:t>
            </w:r>
          </w:p>
          <w:p w14:paraId="57F43B38" w14:textId="77777777" w:rsidR="00273FF0" w:rsidRDefault="00000000">
            <w:pPr>
              <w:numPr>
                <w:ilvl w:val="0"/>
                <w:numId w:val="3"/>
              </w:numPr>
              <w:spacing w:after="0" w:line="340" w:lineRule="auto"/>
              <w:ind w:right="0" w:firstLine="0"/>
            </w:pPr>
            <w:r>
              <w:rPr>
                <w:b w:val="0"/>
              </w:rPr>
              <w:t xml:space="preserve">Gaming Amendment Act 2015 Commencement Day Notice 2015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rPr>
                <w:b w:val="0"/>
              </w:rPr>
              <w:t xml:space="preserve">Gaming Amendment Act 2015 </w:t>
            </w:r>
          </w:p>
          <w:p w14:paraId="4F90C994" w14:textId="77777777" w:rsidR="00273FF0" w:rsidRDefault="00000000">
            <w:pPr>
              <w:numPr>
                <w:ilvl w:val="0"/>
                <w:numId w:val="3"/>
              </w:numPr>
              <w:spacing w:after="99"/>
              <w:ind w:right="0" w:firstLine="0"/>
            </w:pPr>
            <w:r>
              <w:rPr>
                <w:b w:val="0"/>
              </w:rPr>
              <w:t xml:space="preserve">Gaming Amendment Act 2016 Commencement Day Notice 2017 </w:t>
            </w:r>
          </w:p>
          <w:p w14:paraId="009224BC" w14:textId="77777777" w:rsidR="00273FF0" w:rsidRDefault="00000000">
            <w:pPr>
              <w:numPr>
                <w:ilvl w:val="0"/>
                <w:numId w:val="3"/>
              </w:numPr>
              <w:spacing w:after="99"/>
              <w:ind w:right="0" w:firstLine="0"/>
            </w:pPr>
            <w:r>
              <w:rPr>
                <w:b w:val="0"/>
              </w:rPr>
              <w:t xml:space="preserve">Gaming Amendment Act 2016 </w:t>
            </w:r>
          </w:p>
          <w:p w14:paraId="0197FE57" w14:textId="77777777" w:rsidR="00273FF0" w:rsidRDefault="00000000">
            <w:pPr>
              <w:numPr>
                <w:ilvl w:val="0"/>
                <w:numId w:val="3"/>
              </w:numPr>
              <w:spacing w:after="99"/>
              <w:ind w:right="0" w:firstLine="0"/>
            </w:pPr>
            <w:r>
              <w:rPr>
                <w:b w:val="0"/>
              </w:rPr>
              <w:t xml:space="preserve">Gaming Amendment Act 2017 </w:t>
            </w:r>
          </w:p>
          <w:p w14:paraId="3F05125E" w14:textId="77777777" w:rsidR="00273FF0" w:rsidRDefault="00000000">
            <w:pPr>
              <w:numPr>
                <w:ilvl w:val="0"/>
                <w:numId w:val="3"/>
              </w:numPr>
              <w:spacing w:after="99"/>
              <w:ind w:right="0" w:firstLine="0"/>
            </w:pPr>
            <w:r>
              <w:rPr>
                <w:b w:val="0"/>
              </w:rPr>
              <w:t xml:space="preserve">Gaming (Miscellaneous) Amendment Act 2019 </w:t>
            </w:r>
          </w:p>
          <w:p w14:paraId="409E7F6B" w14:textId="77777777" w:rsidR="00273FF0" w:rsidRDefault="00000000">
            <w:pPr>
              <w:numPr>
                <w:ilvl w:val="0"/>
                <w:numId w:val="3"/>
              </w:numPr>
              <w:spacing w:after="0"/>
              <w:ind w:right="0" w:firstLine="0"/>
            </w:pPr>
            <w:r>
              <w:rPr>
                <w:b w:val="0"/>
              </w:rPr>
              <w:t xml:space="preserve">Gaming Regulations 2018 Public Inspection Notice 2018 </w:t>
            </w:r>
          </w:p>
        </w:tc>
      </w:tr>
    </w:tbl>
    <w:p w14:paraId="3E95123B" w14:textId="77777777" w:rsidR="00273FF0" w:rsidRDefault="00273FF0">
      <w:pPr>
        <w:spacing w:after="0"/>
        <w:ind w:left="-1440" w:right="10800" w:firstLine="0"/>
      </w:pPr>
    </w:p>
    <w:tbl>
      <w:tblPr>
        <w:tblStyle w:val="TableGrid"/>
        <w:tblW w:w="10252" w:type="dxa"/>
        <w:tblInd w:w="-540" w:type="dxa"/>
        <w:tblCellMar>
          <w:top w:w="47" w:type="dxa"/>
          <w:left w:w="108" w:type="dxa"/>
          <w:bottom w:w="6" w:type="dxa"/>
          <w:right w:w="56" w:type="dxa"/>
        </w:tblCellMar>
        <w:tblLook w:val="04A0" w:firstRow="1" w:lastRow="0" w:firstColumn="1" w:lastColumn="0" w:noHBand="0" w:noVBand="1"/>
      </w:tblPr>
      <w:tblGrid>
        <w:gridCol w:w="10252"/>
      </w:tblGrid>
      <w:tr w:rsidR="00273FF0" w14:paraId="53A99723" w14:textId="77777777">
        <w:trPr>
          <w:trHeight w:val="7592"/>
        </w:trPr>
        <w:tc>
          <w:tcPr>
            <w:tcW w:w="10252" w:type="dxa"/>
            <w:tcBorders>
              <w:top w:val="single" w:sz="4" w:space="0" w:color="000000"/>
              <w:left w:val="single" w:sz="4" w:space="0" w:color="000000"/>
              <w:bottom w:val="single" w:sz="4" w:space="0" w:color="000000"/>
              <w:right w:val="single" w:sz="4" w:space="0" w:color="000000"/>
            </w:tcBorders>
          </w:tcPr>
          <w:p w14:paraId="77E934C0" w14:textId="77777777" w:rsidR="00273FF0" w:rsidRDefault="00000000">
            <w:pPr>
              <w:numPr>
                <w:ilvl w:val="0"/>
                <w:numId w:val="4"/>
              </w:numPr>
              <w:spacing w:after="97"/>
              <w:ind w:right="0" w:hanging="360"/>
            </w:pPr>
            <w:r>
              <w:rPr>
                <w:b w:val="0"/>
              </w:rPr>
              <w:lastRenderedPageBreak/>
              <w:t xml:space="preserve">Gaming Regulations 2018 </w:t>
            </w:r>
          </w:p>
          <w:p w14:paraId="4899A95A" w14:textId="77777777" w:rsidR="00273FF0" w:rsidRDefault="00000000">
            <w:pPr>
              <w:numPr>
                <w:ilvl w:val="0"/>
                <w:numId w:val="4"/>
              </w:numPr>
              <w:spacing w:after="99"/>
              <w:ind w:right="0" w:hanging="360"/>
            </w:pPr>
            <w:r>
              <w:rPr>
                <w:b w:val="0"/>
              </w:rPr>
              <w:t xml:space="preserve">Gaming Amendment Regulations 2019 </w:t>
            </w:r>
          </w:p>
          <w:p w14:paraId="4A02C86C" w14:textId="77777777" w:rsidR="00273FF0" w:rsidRDefault="00000000">
            <w:pPr>
              <w:numPr>
                <w:ilvl w:val="0"/>
                <w:numId w:val="4"/>
              </w:numPr>
              <w:spacing w:after="100"/>
              <w:ind w:right="0" w:hanging="360"/>
            </w:pPr>
            <w:r>
              <w:rPr>
                <w:b w:val="0"/>
              </w:rPr>
              <w:t xml:space="preserve">Liquor </w:t>
            </w:r>
            <w:proofErr w:type="spellStart"/>
            <w:r>
              <w:rPr>
                <w:b w:val="0"/>
              </w:rPr>
              <w:t>Licence</w:t>
            </w:r>
            <w:proofErr w:type="spellEnd"/>
            <w:r>
              <w:rPr>
                <w:b w:val="0"/>
              </w:rPr>
              <w:t xml:space="preserve"> Act 1974 </w:t>
            </w:r>
          </w:p>
          <w:p w14:paraId="67CFB232" w14:textId="77777777" w:rsidR="00273FF0" w:rsidRDefault="00000000">
            <w:pPr>
              <w:numPr>
                <w:ilvl w:val="0"/>
                <w:numId w:val="4"/>
              </w:numPr>
              <w:spacing w:after="99"/>
              <w:ind w:right="0" w:hanging="360"/>
            </w:pPr>
            <w:r>
              <w:rPr>
                <w:b w:val="0"/>
              </w:rPr>
              <w:t xml:space="preserve">Misuse of Drugs Act 1972 </w:t>
            </w:r>
          </w:p>
          <w:p w14:paraId="25F415A3" w14:textId="77777777" w:rsidR="00273FF0" w:rsidRDefault="00000000">
            <w:pPr>
              <w:numPr>
                <w:ilvl w:val="0"/>
                <w:numId w:val="4"/>
              </w:numPr>
              <w:spacing w:after="145" w:line="239" w:lineRule="auto"/>
              <w:ind w:right="0" w:hanging="360"/>
            </w:pPr>
            <w:r>
              <w:rPr>
                <w:b w:val="0"/>
              </w:rPr>
              <w:t xml:space="preserve">Proceeds of Crime (Anti-Money Laundering and Anti-Terrorist Financing Supervision and Enforcement) Act 2008 </w:t>
            </w:r>
          </w:p>
          <w:p w14:paraId="1FEED027" w14:textId="77777777" w:rsidR="00273FF0" w:rsidRDefault="00000000">
            <w:pPr>
              <w:numPr>
                <w:ilvl w:val="0"/>
                <w:numId w:val="4"/>
              </w:numPr>
              <w:spacing w:after="99"/>
              <w:ind w:right="0" w:hanging="360"/>
            </w:pPr>
            <w:r>
              <w:rPr>
                <w:b w:val="0"/>
              </w:rPr>
              <w:t xml:space="preserve">Proceeds of Crime Act 1997 </w:t>
            </w:r>
          </w:p>
          <w:p w14:paraId="27B43C04" w14:textId="77777777" w:rsidR="00273FF0" w:rsidRDefault="00000000">
            <w:pPr>
              <w:numPr>
                <w:ilvl w:val="0"/>
                <w:numId w:val="4"/>
              </w:numPr>
              <w:spacing w:after="99"/>
              <w:ind w:right="0" w:hanging="360"/>
            </w:pPr>
            <w:r>
              <w:rPr>
                <w:b w:val="0"/>
              </w:rPr>
              <w:t xml:space="preserve">Proceeds of Crime Amendment (No.2) Act 2016 </w:t>
            </w:r>
          </w:p>
          <w:p w14:paraId="486F22BF" w14:textId="77777777" w:rsidR="00273FF0" w:rsidRDefault="00000000">
            <w:pPr>
              <w:numPr>
                <w:ilvl w:val="0"/>
                <w:numId w:val="4"/>
              </w:numPr>
              <w:spacing w:after="99"/>
              <w:ind w:right="0" w:hanging="360"/>
            </w:pPr>
            <w:r>
              <w:rPr>
                <w:b w:val="0"/>
              </w:rPr>
              <w:t xml:space="preserve">Proceeds of Crime Amendment (No.3) Act 2017 </w:t>
            </w:r>
          </w:p>
          <w:p w14:paraId="6A94C330" w14:textId="77777777" w:rsidR="00273FF0" w:rsidRDefault="00000000">
            <w:pPr>
              <w:numPr>
                <w:ilvl w:val="0"/>
                <w:numId w:val="4"/>
              </w:numPr>
              <w:spacing w:after="99"/>
              <w:ind w:right="0" w:hanging="360"/>
            </w:pPr>
            <w:r>
              <w:rPr>
                <w:b w:val="0"/>
              </w:rPr>
              <w:t xml:space="preserve">Proceeds of Crime Amendment Act 2015 </w:t>
            </w:r>
          </w:p>
          <w:p w14:paraId="6811056A" w14:textId="77777777" w:rsidR="00273FF0" w:rsidRDefault="00000000">
            <w:pPr>
              <w:numPr>
                <w:ilvl w:val="0"/>
                <w:numId w:val="4"/>
              </w:numPr>
              <w:spacing w:after="97"/>
              <w:ind w:right="0" w:hanging="360"/>
            </w:pPr>
            <w:r>
              <w:rPr>
                <w:b w:val="0"/>
              </w:rPr>
              <w:t xml:space="preserve">Prohibition of Gaming Machines Act 2001 </w:t>
            </w:r>
          </w:p>
          <w:p w14:paraId="7009B2CF" w14:textId="77777777" w:rsidR="00273FF0" w:rsidRDefault="00000000">
            <w:pPr>
              <w:numPr>
                <w:ilvl w:val="0"/>
                <w:numId w:val="4"/>
              </w:numPr>
              <w:spacing w:after="99"/>
              <w:ind w:right="0" w:hanging="360"/>
            </w:pPr>
            <w:r>
              <w:rPr>
                <w:b w:val="0"/>
              </w:rPr>
              <w:t xml:space="preserve">Public Access to Information Act 2016 </w:t>
            </w:r>
          </w:p>
          <w:p w14:paraId="3F1DA057" w14:textId="77777777" w:rsidR="00273FF0" w:rsidRDefault="00000000">
            <w:pPr>
              <w:numPr>
                <w:ilvl w:val="0"/>
                <w:numId w:val="4"/>
              </w:numPr>
              <w:spacing w:after="99"/>
              <w:ind w:right="0" w:hanging="360"/>
            </w:pPr>
            <w:r>
              <w:rPr>
                <w:b w:val="0"/>
              </w:rPr>
              <w:t xml:space="preserve">Public Information Protection Act 2016 </w:t>
            </w:r>
          </w:p>
          <w:p w14:paraId="6E9D0E3B" w14:textId="77777777" w:rsidR="00273FF0" w:rsidRDefault="00000000">
            <w:pPr>
              <w:numPr>
                <w:ilvl w:val="0"/>
                <w:numId w:val="4"/>
              </w:numPr>
              <w:spacing w:after="99"/>
              <w:ind w:right="0" w:hanging="360"/>
            </w:pPr>
            <w:r>
              <w:rPr>
                <w:b w:val="0"/>
              </w:rPr>
              <w:t xml:space="preserve">St. George’s Resort Act 2015 </w:t>
            </w:r>
          </w:p>
          <w:p w14:paraId="1A37EB77" w14:textId="77777777" w:rsidR="00273FF0" w:rsidRDefault="00000000">
            <w:pPr>
              <w:numPr>
                <w:ilvl w:val="0"/>
                <w:numId w:val="4"/>
              </w:numPr>
              <w:spacing w:after="97"/>
              <w:ind w:right="0" w:hanging="360"/>
            </w:pPr>
            <w:r>
              <w:rPr>
                <w:b w:val="0"/>
              </w:rPr>
              <w:t xml:space="preserve">St. George’s Resort Act 2018 </w:t>
            </w:r>
          </w:p>
          <w:p w14:paraId="6E50FBC9" w14:textId="77777777" w:rsidR="00273FF0" w:rsidRDefault="00000000">
            <w:pPr>
              <w:numPr>
                <w:ilvl w:val="0"/>
                <w:numId w:val="4"/>
              </w:numPr>
              <w:spacing w:after="99"/>
              <w:ind w:right="0" w:hanging="360"/>
            </w:pPr>
            <w:r>
              <w:rPr>
                <w:b w:val="0"/>
              </w:rPr>
              <w:t xml:space="preserve">Statutory Instruments (Second Schedule Amendment) Order 2018 </w:t>
            </w:r>
          </w:p>
          <w:p w14:paraId="33D839C4" w14:textId="77777777" w:rsidR="00273FF0" w:rsidRDefault="00000000">
            <w:pPr>
              <w:numPr>
                <w:ilvl w:val="0"/>
                <w:numId w:val="4"/>
              </w:numPr>
              <w:spacing w:after="99"/>
              <w:ind w:right="0" w:hanging="360"/>
            </w:pPr>
            <w:r>
              <w:rPr>
                <w:b w:val="0"/>
              </w:rPr>
              <w:t xml:space="preserve">Statutory Instruments Act 1977 </w:t>
            </w:r>
          </w:p>
          <w:p w14:paraId="092CF5D7" w14:textId="77777777" w:rsidR="00273FF0" w:rsidRDefault="00000000">
            <w:pPr>
              <w:numPr>
                <w:ilvl w:val="0"/>
                <w:numId w:val="4"/>
              </w:numPr>
              <w:spacing w:after="72"/>
              <w:ind w:right="0" w:hanging="360"/>
            </w:pPr>
            <w:r>
              <w:rPr>
                <w:b w:val="0"/>
              </w:rPr>
              <w:t xml:space="preserve">Transfer of Functions Act 2021 </w:t>
            </w:r>
          </w:p>
          <w:p w14:paraId="1CDFE038" w14:textId="77777777" w:rsidR="00273FF0" w:rsidRDefault="00000000">
            <w:pPr>
              <w:spacing w:after="0"/>
              <w:ind w:left="722" w:right="0" w:firstLine="0"/>
            </w:pPr>
            <w:r>
              <w:rPr>
                <w:b w:val="0"/>
              </w:rPr>
              <w:t xml:space="preserve"> </w:t>
            </w:r>
          </w:p>
        </w:tc>
      </w:tr>
      <w:tr w:rsidR="00273FF0" w14:paraId="3200910E" w14:textId="77777777">
        <w:trPr>
          <w:trHeight w:val="626"/>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2C180EE7" w14:textId="77777777" w:rsidR="00273FF0" w:rsidRDefault="00000000">
            <w:pPr>
              <w:spacing w:after="0"/>
              <w:ind w:left="0" w:right="0" w:firstLine="0"/>
            </w:pPr>
            <w:r>
              <w:t xml:space="preserve">Section B: 1) Functions, powers, duties of the Authority [s. 5(1)(b) PATI Act] </w:t>
            </w:r>
          </w:p>
        </w:tc>
      </w:tr>
      <w:tr w:rsidR="00273FF0" w14:paraId="240E279B" w14:textId="77777777">
        <w:trPr>
          <w:trHeight w:val="3589"/>
        </w:trPr>
        <w:tc>
          <w:tcPr>
            <w:tcW w:w="10252" w:type="dxa"/>
            <w:tcBorders>
              <w:top w:val="single" w:sz="4" w:space="0" w:color="000000"/>
              <w:left w:val="single" w:sz="4" w:space="0" w:color="000000"/>
              <w:bottom w:val="single" w:sz="4" w:space="0" w:color="000000"/>
              <w:right w:val="single" w:sz="4" w:space="0" w:color="000000"/>
            </w:tcBorders>
            <w:vAlign w:val="bottom"/>
          </w:tcPr>
          <w:p w14:paraId="5AC99775" w14:textId="77777777" w:rsidR="00273FF0" w:rsidRDefault="00000000">
            <w:pPr>
              <w:spacing w:after="0" w:line="239" w:lineRule="auto"/>
              <w:ind w:left="0" w:right="0" w:firstLine="0"/>
            </w:pPr>
            <w:r>
              <w:rPr>
                <w:b w:val="0"/>
              </w:rPr>
              <w:t xml:space="preserve">Part 1 of the Act prescribes that the Commission receive and consider applications for the Minister to make an Order designating a site as an appropriate site for a casino. </w:t>
            </w:r>
          </w:p>
          <w:p w14:paraId="02C44763" w14:textId="77777777" w:rsidR="00273FF0" w:rsidRDefault="00000000">
            <w:pPr>
              <w:spacing w:after="0"/>
              <w:ind w:left="0" w:right="0" w:firstLine="0"/>
            </w:pPr>
            <w:r>
              <w:rPr>
                <w:b w:val="0"/>
              </w:rPr>
              <w:t xml:space="preserve"> </w:t>
            </w:r>
          </w:p>
          <w:p w14:paraId="3EF35950" w14:textId="77777777" w:rsidR="00273FF0" w:rsidRDefault="00000000">
            <w:pPr>
              <w:spacing w:after="98"/>
              <w:ind w:left="0" w:right="0" w:firstLine="0"/>
            </w:pPr>
            <w:r>
              <w:rPr>
                <w:b w:val="0"/>
              </w:rPr>
              <w:t xml:space="preserve">Part 2, Chapter 2, of the Act sets out the objects, functions, duties, and powers of the Commission. </w:t>
            </w:r>
          </w:p>
          <w:p w14:paraId="18B61C52" w14:textId="77777777" w:rsidR="00273FF0" w:rsidRDefault="00000000">
            <w:pPr>
              <w:spacing w:after="98"/>
              <w:ind w:left="0" w:right="0" w:firstLine="0"/>
            </w:pPr>
            <w:r>
              <w:t xml:space="preserve"> </w:t>
            </w:r>
          </w:p>
          <w:p w14:paraId="1D69407F" w14:textId="77777777" w:rsidR="00273FF0" w:rsidRDefault="00000000">
            <w:pPr>
              <w:spacing w:after="98"/>
              <w:ind w:left="0" w:right="0" w:firstLine="0"/>
            </w:pPr>
            <w:r>
              <w:rPr>
                <w:u w:val="single" w:color="000000"/>
              </w:rPr>
              <w:t>Objects of the Commission (s. 8 of the Act):</w:t>
            </w:r>
            <w:r>
              <w:t xml:space="preserve"> </w:t>
            </w:r>
          </w:p>
          <w:p w14:paraId="69DBFF48" w14:textId="77777777" w:rsidR="00273FF0" w:rsidRDefault="00000000">
            <w:pPr>
              <w:spacing w:after="144" w:line="239" w:lineRule="auto"/>
              <w:ind w:left="0" w:right="0" w:firstLine="0"/>
              <w:jc w:val="both"/>
            </w:pPr>
            <w:r>
              <w:rPr>
                <w:b w:val="0"/>
              </w:rPr>
              <w:t xml:space="preserve">The principal objects of the Commission are to maintain and administer systems for the licensing, supervision, and control of casinos to ensure: </w:t>
            </w:r>
          </w:p>
          <w:p w14:paraId="37DD615F" w14:textId="77777777" w:rsidR="00273FF0" w:rsidRDefault="00000000">
            <w:pPr>
              <w:numPr>
                <w:ilvl w:val="0"/>
                <w:numId w:val="5"/>
              </w:numPr>
              <w:spacing w:after="27" w:line="239" w:lineRule="auto"/>
              <w:ind w:right="0" w:hanging="360"/>
            </w:pPr>
            <w:r>
              <w:rPr>
                <w:b w:val="0"/>
              </w:rPr>
              <w:t xml:space="preserve">That the management and operation of casinos, bookmaker services and other businesses that offer gaming is carried out by persons who are suitable, and remains free from criminal influence or </w:t>
            </w:r>
            <w:proofErr w:type="gramStart"/>
            <w:r>
              <w:rPr>
                <w:b w:val="0"/>
              </w:rPr>
              <w:t>exploitation;</w:t>
            </w:r>
            <w:proofErr w:type="gramEnd"/>
            <w:r>
              <w:rPr>
                <w:b w:val="0"/>
              </w:rPr>
              <w:t xml:space="preserve"> </w:t>
            </w:r>
          </w:p>
          <w:p w14:paraId="42ED48C9" w14:textId="77777777" w:rsidR="00273FF0" w:rsidRDefault="00000000">
            <w:pPr>
              <w:numPr>
                <w:ilvl w:val="0"/>
                <w:numId w:val="5"/>
              </w:numPr>
              <w:spacing w:after="0"/>
              <w:ind w:right="0" w:hanging="360"/>
            </w:pPr>
            <w:r>
              <w:rPr>
                <w:b w:val="0"/>
              </w:rPr>
              <w:t xml:space="preserve">ensuring that gaming offered by such businesses is conducted honestly; and </w:t>
            </w:r>
          </w:p>
        </w:tc>
      </w:tr>
    </w:tbl>
    <w:p w14:paraId="4E121DF4" w14:textId="77777777" w:rsidR="00273FF0" w:rsidRDefault="00273FF0">
      <w:pPr>
        <w:spacing w:after="0"/>
        <w:ind w:left="-1440" w:right="10800" w:firstLine="0"/>
      </w:pPr>
    </w:p>
    <w:tbl>
      <w:tblPr>
        <w:tblStyle w:val="TableGrid"/>
        <w:tblW w:w="10255" w:type="dxa"/>
        <w:tblInd w:w="-542" w:type="dxa"/>
        <w:tblCellMar>
          <w:top w:w="58" w:type="dxa"/>
          <w:left w:w="110" w:type="dxa"/>
          <w:bottom w:w="0" w:type="dxa"/>
          <w:right w:w="56" w:type="dxa"/>
        </w:tblCellMar>
        <w:tblLook w:val="04A0" w:firstRow="1" w:lastRow="0" w:firstColumn="1" w:lastColumn="0" w:noHBand="0" w:noVBand="1"/>
      </w:tblPr>
      <w:tblGrid>
        <w:gridCol w:w="10255"/>
      </w:tblGrid>
      <w:tr w:rsidR="00273FF0" w14:paraId="5518C1B1" w14:textId="77777777">
        <w:trPr>
          <w:trHeight w:val="12053"/>
        </w:trPr>
        <w:tc>
          <w:tcPr>
            <w:tcW w:w="10255" w:type="dxa"/>
            <w:tcBorders>
              <w:top w:val="single" w:sz="4" w:space="0" w:color="000000"/>
              <w:left w:val="single" w:sz="4" w:space="0" w:color="000000"/>
              <w:bottom w:val="single" w:sz="4" w:space="0" w:color="000000"/>
              <w:right w:val="single" w:sz="4" w:space="0" w:color="000000"/>
            </w:tcBorders>
          </w:tcPr>
          <w:p w14:paraId="2813FFC5" w14:textId="77777777" w:rsidR="00273FF0" w:rsidRDefault="00000000">
            <w:pPr>
              <w:numPr>
                <w:ilvl w:val="0"/>
                <w:numId w:val="6"/>
              </w:numPr>
              <w:spacing w:after="27" w:line="240" w:lineRule="auto"/>
              <w:ind w:right="0" w:hanging="360"/>
            </w:pPr>
            <w:r>
              <w:rPr>
                <w:b w:val="0"/>
              </w:rPr>
              <w:lastRenderedPageBreak/>
              <w:t xml:space="preserve">containing and controlling the potential of gaming to cause harm to minors, vulnerable persons and society </w:t>
            </w:r>
            <w:proofErr w:type="gramStart"/>
            <w:r>
              <w:rPr>
                <w:b w:val="0"/>
              </w:rPr>
              <w:t>at large;</w:t>
            </w:r>
            <w:proofErr w:type="gramEnd"/>
            <w:r>
              <w:rPr>
                <w:b w:val="0"/>
              </w:rPr>
              <w:t xml:space="preserve"> </w:t>
            </w:r>
          </w:p>
          <w:p w14:paraId="2247F226" w14:textId="77777777" w:rsidR="00273FF0" w:rsidRDefault="00000000">
            <w:pPr>
              <w:numPr>
                <w:ilvl w:val="0"/>
                <w:numId w:val="6"/>
              </w:numPr>
              <w:spacing w:after="72"/>
              <w:ind w:right="0" w:hanging="360"/>
            </w:pPr>
            <w:r>
              <w:rPr>
                <w:b w:val="0"/>
              </w:rPr>
              <w:t xml:space="preserve">performing such functions as may be necessary or expedient to fulfil such principal objects </w:t>
            </w:r>
          </w:p>
          <w:p w14:paraId="3D215D84" w14:textId="77777777" w:rsidR="00273FF0" w:rsidRDefault="00000000">
            <w:pPr>
              <w:spacing w:after="98"/>
              <w:ind w:left="0" w:right="0" w:firstLine="0"/>
            </w:pPr>
            <w:r>
              <w:rPr>
                <w:b w:val="0"/>
              </w:rPr>
              <w:t xml:space="preserve"> </w:t>
            </w:r>
          </w:p>
          <w:p w14:paraId="440D7642" w14:textId="77777777" w:rsidR="00273FF0" w:rsidRDefault="00000000">
            <w:pPr>
              <w:spacing w:after="0"/>
              <w:ind w:left="0" w:right="0" w:firstLine="0"/>
            </w:pPr>
            <w:r>
              <w:rPr>
                <w:u w:val="single" w:color="000000"/>
              </w:rPr>
              <w:t>Functions and duties of the Commission (s. 9 of the Act):</w:t>
            </w:r>
            <w:r>
              <w:t xml:space="preserve"> </w:t>
            </w:r>
          </w:p>
          <w:p w14:paraId="537E8BA1" w14:textId="77777777" w:rsidR="00273FF0" w:rsidRDefault="00000000">
            <w:pPr>
              <w:spacing w:after="5"/>
              <w:ind w:left="0" w:right="0" w:firstLine="0"/>
            </w:pPr>
            <w:r>
              <w:rPr>
                <w:b w:val="0"/>
              </w:rPr>
              <w:t xml:space="preserve"> </w:t>
            </w:r>
          </w:p>
          <w:p w14:paraId="38BF8E88" w14:textId="77777777" w:rsidR="00273FF0" w:rsidRDefault="00000000">
            <w:pPr>
              <w:numPr>
                <w:ilvl w:val="0"/>
                <w:numId w:val="6"/>
              </w:numPr>
              <w:spacing w:after="28" w:line="238" w:lineRule="auto"/>
              <w:ind w:right="0" w:hanging="360"/>
            </w:pPr>
            <w:r>
              <w:rPr>
                <w:b w:val="0"/>
              </w:rPr>
              <w:t xml:space="preserve">to administer the gaming legislation, and perform the functions conferred or imposed on the Commission under the gaming legislation, in a manner that best ensures that the objects of the Commission are </w:t>
            </w:r>
            <w:proofErr w:type="gramStart"/>
            <w:r>
              <w:rPr>
                <w:b w:val="0"/>
              </w:rPr>
              <w:t>achieved;</w:t>
            </w:r>
            <w:proofErr w:type="gramEnd"/>
            <w:r>
              <w:rPr>
                <w:b w:val="0"/>
              </w:rPr>
              <w:t xml:space="preserve"> </w:t>
            </w:r>
          </w:p>
          <w:p w14:paraId="27CBD897" w14:textId="77777777" w:rsidR="00273FF0" w:rsidRDefault="00000000">
            <w:pPr>
              <w:numPr>
                <w:ilvl w:val="0"/>
                <w:numId w:val="6"/>
              </w:numPr>
              <w:spacing w:after="27" w:line="239" w:lineRule="auto"/>
              <w:ind w:right="0" w:hanging="360"/>
            </w:pPr>
            <w:r>
              <w:rPr>
                <w:b w:val="0"/>
              </w:rPr>
              <w:t xml:space="preserve">to supervise casino operations and casino operators for the purpose of detecting or preventing money laundering, the financing of terrorism and the financing of the proliferation of weapons of mass destruction; and </w:t>
            </w:r>
          </w:p>
          <w:p w14:paraId="5240E2E2" w14:textId="77777777" w:rsidR="00273FF0" w:rsidRDefault="00000000">
            <w:pPr>
              <w:numPr>
                <w:ilvl w:val="0"/>
                <w:numId w:val="6"/>
              </w:numPr>
              <w:spacing w:after="199" w:line="239" w:lineRule="auto"/>
              <w:ind w:right="0" w:hanging="360"/>
            </w:pPr>
            <w:r>
              <w:rPr>
                <w:b w:val="0"/>
              </w:rPr>
              <w:t xml:space="preserve">to perform such other functions as are conferred or imposed on the Common by or under any other enactment.  </w:t>
            </w:r>
          </w:p>
          <w:p w14:paraId="1E4CE3A0" w14:textId="77777777" w:rsidR="00273FF0" w:rsidRDefault="00000000">
            <w:pPr>
              <w:spacing w:after="311"/>
              <w:ind w:left="0" w:right="0" w:firstLine="0"/>
            </w:pPr>
            <w:r>
              <w:t xml:space="preserve"> </w:t>
            </w:r>
          </w:p>
          <w:p w14:paraId="06C53DB5" w14:textId="77777777" w:rsidR="00273FF0" w:rsidRDefault="00000000">
            <w:pPr>
              <w:spacing w:after="112"/>
              <w:ind w:left="0" w:right="0" w:firstLine="0"/>
            </w:pPr>
            <w:r>
              <w:rPr>
                <w:u w:val="single" w:color="000000"/>
              </w:rPr>
              <w:t>Powers of Commission (s. 10 of the Act):</w:t>
            </w:r>
            <w:r>
              <w:t xml:space="preserve"> </w:t>
            </w:r>
          </w:p>
          <w:p w14:paraId="57DCEE4B" w14:textId="77777777" w:rsidR="00273FF0" w:rsidRDefault="00000000">
            <w:pPr>
              <w:spacing w:after="24" w:line="239" w:lineRule="auto"/>
              <w:ind w:left="0" w:right="0" w:firstLine="0"/>
            </w:pPr>
            <w:r>
              <w:rPr>
                <w:b w:val="0"/>
              </w:rPr>
              <w:t xml:space="preserve">The Commission may carry on such activities as appear to the Commission to be advantageous, necessary or expedient in connection with its objects, the performance of its functions and the discharge of its duties under this Act, the Regulations or any other law. The Commission may— </w:t>
            </w:r>
          </w:p>
          <w:p w14:paraId="51AE8D29" w14:textId="77777777" w:rsidR="00273FF0" w:rsidRDefault="00000000">
            <w:pPr>
              <w:numPr>
                <w:ilvl w:val="0"/>
                <w:numId w:val="6"/>
              </w:numPr>
              <w:spacing w:after="27" w:line="239" w:lineRule="auto"/>
              <w:ind w:right="0" w:hanging="360"/>
            </w:pPr>
            <w:r>
              <w:rPr>
                <w:b w:val="0"/>
              </w:rPr>
              <w:t xml:space="preserve">conduct such investigations for grant of </w:t>
            </w:r>
            <w:proofErr w:type="spellStart"/>
            <w:r>
              <w:rPr>
                <w:b w:val="0"/>
              </w:rPr>
              <w:t>licences</w:t>
            </w:r>
            <w:proofErr w:type="spellEnd"/>
            <w:r>
              <w:rPr>
                <w:b w:val="0"/>
              </w:rPr>
              <w:t xml:space="preserve"> or compliance with </w:t>
            </w:r>
            <w:proofErr w:type="spellStart"/>
            <w:r>
              <w:rPr>
                <w:b w:val="0"/>
              </w:rPr>
              <w:t>licence</w:t>
            </w:r>
            <w:proofErr w:type="spellEnd"/>
            <w:r>
              <w:rPr>
                <w:b w:val="0"/>
              </w:rPr>
              <w:t xml:space="preserve"> conditions as may be necessary for enforcing this </w:t>
            </w:r>
            <w:proofErr w:type="gramStart"/>
            <w:r>
              <w:rPr>
                <w:b w:val="0"/>
              </w:rPr>
              <w:t>Act;</w:t>
            </w:r>
            <w:proofErr w:type="gramEnd"/>
            <w:r>
              <w:rPr>
                <w:b w:val="0"/>
              </w:rPr>
              <w:t xml:space="preserve"> </w:t>
            </w:r>
          </w:p>
          <w:p w14:paraId="306A3689" w14:textId="77777777" w:rsidR="00273FF0" w:rsidRDefault="00000000">
            <w:pPr>
              <w:numPr>
                <w:ilvl w:val="0"/>
                <w:numId w:val="6"/>
              </w:numPr>
              <w:spacing w:after="27" w:line="239" w:lineRule="auto"/>
              <w:ind w:right="0" w:hanging="360"/>
            </w:pPr>
            <w:r>
              <w:rPr>
                <w:b w:val="0"/>
              </w:rPr>
              <w:t xml:space="preserve">require any person to furnish such returns and information as may be necessary for implementing the provisions of this </w:t>
            </w:r>
            <w:proofErr w:type="gramStart"/>
            <w:r>
              <w:rPr>
                <w:b w:val="0"/>
              </w:rPr>
              <w:t>Act;</w:t>
            </w:r>
            <w:proofErr w:type="gramEnd"/>
            <w:r>
              <w:rPr>
                <w:b w:val="0"/>
              </w:rPr>
              <w:t xml:space="preserve"> </w:t>
            </w:r>
          </w:p>
          <w:p w14:paraId="75BAFB09" w14:textId="77777777" w:rsidR="00273FF0" w:rsidRDefault="00000000">
            <w:pPr>
              <w:numPr>
                <w:ilvl w:val="0"/>
                <w:numId w:val="6"/>
              </w:numPr>
              <w:spacing w:after="24" w:line="239" w:lineRule="auto"/>
              <w:ind w:right="0" w:hanging="360"/>
            </w:pPr>
            <w:r>
              <w:rPr>
                <w:b w:val="0"/>
              </w:rPr>
              <w:t xml:space="preserve">issue or approve codes of practice relating to casino operations or other activities performed under a </w:t>
            </w:r>
            <w:proofErr w:type="spellStart"/>
            <w:r>
              <w:rPr>
                <w:b w:val="0"/>
              </w:rPr>
              <w:t>licence</w:t>
            </w:r>
            <w:proofErr w:type="spellEnd"/>
            <w:r>
              <w:rPr>
                <w:b w:val="0"/>
              </w:rPr>
              <w:t xml:space="preserve"> or approval under this </w:t>
            </w:r>
            <w:proofErr w:type="gramStart"/>
            <w:r>
              <w:rPr>
                <w:b w:val="0"/>
              </w:rPr>
              <w:t>Act;</w:t>
            </w:r>
            <w:proofErr w:type="gramEnd"/>
            <w:r>
              <w:rPr>
                <w:b w:val="0"/>
              </w:rPr>
              <w:t xml:space="preserve"> </w:t>
            </w:r>
          </w:p>
          <w:p w14:paraId="213D7D3C" w14:textId="77777777" w:rsidR="00273FF0" w:rsidRDefault="00000000">
            <w:pPr>
              <w:numPr>
                <w:ilvl w:val="0"/>
                <w:numId w:val="6"/>
              </w:numPr>
              <w:spacing w:after="27" w:line="239" w:lineRule="auto"/>
              <w:ind w:right="0" w:hanging="360"/>
            </w:pPr>
            <w:r>
              <w:rPr>
                <w:b w:val="0"/>
              </w:rPr>
              <w:t xml:space="preserve">publish educational materials or carry out research or other educational activities relating to gaming, or to support (financially or otherwise) the carrying out by others of such activities or the provision by others of information or </w:t>
            </w:r>
            <w:proofErr w:type="gramStart"/>
            <w:r>
              <w:rPr>
                <w:b w:val="0"/>
              </w:rPr>
              <w:t>advice;</w:t>
            </w:r>
            <w:proofErr w:type="gramEnd"/>
            <w:r>
              <w:rPr>
                <w:b w:val="0"/>
              </w:rPr>
              <w:t xml:space="preserve"> </w:t>
            </w:r>
          </w:p>
          <w:p w14:paraId="4EFA2F1A" w14:textId="77777777" w:rsidR="00273FF0" w:rsidRDefault="00000000">
            <w:pPr>
              <w:numPr>
                <w:ilvl w:val="0"/>
                <w:numId w:val="6"/>
              </w:numPr>
              <w:spacing w:after="27" w:line="239" w:lineRule="auto"/>
              <w:ind w:right="0" w:hanging="360"/>
            </w:pPr>
            <w:proofErr w:type="gramStart"/>
            <w:r>
              <w:rPr>
                <w:b w:val="0"/>
              </w:rPr>
              <w:t>enter into</w:t>
            </w:r>
            <w:proofErr w:type="gramEnd"/>
            <w:r>
              <w:rPr>
                <w:b w:val="0"/>
              </w:rPr>
              <w:t xml:space="preserve"> such contracts as may be necessary or expedient for the purpose of performing its functions or discharging its </w:t>
            </w:r>
            <w:proofErr w:type="gramStart"/>
            <w:r>
              <w:rPr>
                <w:b w:val="0"/>
              </w:rPr>
              <w:t>duties;</w:t>
            </w:r>
            <w:proofErr w:type="gramEnd"/>
            <w:r>
              <w:rPr>
                <w:b w:val="0"/>
              </w:rPr>
              <w:t xml:space="preserve"> </w:t>
            </w:r>
          </w:p>
          <w:p w14:paraId="6EEDDD25" w14:textId="77777777" w:rsidR="00273FF0" w:rsidRDefault="00000000">
            <w:pPr>
              <w:numPr>
                <w:ilvl w:val="0"/>
                <w:numId w:val="6"/>
              </w:numPr>
              <w:spacing w:after="28" w:line="239" w:lineRule="auto"/>
              <w:ind w:right="0" w:hanging="360"/>
            </w:pPr>
            <w:r>
              <w:rPr>
                <w:b w:val="0"/>
              </w:rPr>
              <w:t xml:space="preserve">acquire and hold property, both movable and immovable, and to </w:t>
            </w:r>
            <w:proofErr w:type="spellStart"/>
            <w:proofErr w:type="gramStart"/>
            <w:r>
              <w:rPr>
                <w:b w:val="0"/>
              </w:rPr>
              <w:t>sell,lease</w:t>
            </w:r>
            <w:proofErr w:type="spellEnd"/>
            <w:proofErr w:type="gramEnd"/>
            <w:r>
              <w:rPr>
                <w:b w:val="0"/>
              </w:rPr>
              <w:t xml:space="preserve">, or otherwise dispose of the property only insofar as the Commission considers necessary or expedient for the provision or future provision of business premises for the Commission or of any other requirement incidental to the performance of its functions under this </w:t>
            </w:r>
            <w:proofErr w:type="gramStart"/>
            <w:r>
              <w:rPr>
                <w:b w:val="0"/>
              </w:rPr>
              <w:t>Act;</w:t>
            </w:r>
            <w:proofErr w:type="gramEnd"/>
            <w:r>
              <w:rPr>
                <w:b w:val="0"/>
              </w:rPr>
              <w:t xml:space="preserve"> </w:t>
            </w:r>
          </w:p>
          <w:p w14:paraId="3649D971" w14:textId="77777777" w:rsidR="00273FF0" w:rsidRDefault="00000000">
            <w:pPr>
              <w:numPr>
                <w:ilvl w:val="0"/>
                <w:numId w:val="6"/>
              </w:numPr>
              <w:spacing w:after="27" w:line="239" w:lineRule="auto"/>
              <w:ind w:right="0" w:hanging="360"/>
            </w:pPr>
            <w:r>
              <w:rPr>
                <w:b w:val="0"/>
              </w:rPr>
              <w:t xml:space="preserve">make provision for pensions, allowances or other benefits for employees or former employees of the Commission; and </w:t>
            </w:r>
          </w:p>
          <w:p w14:paraId="4A278769" w14:textId="77777777" w:rsidR="00273FF0" w:rsidRDefault="00000000">
            <w:pPr>
              <w:numPr>
                <w:ilvl w:val="0"/>
                <w:numId w:val="6"/>
              </w:numPr>
              <w:spacing w:after="0" w:line="239" w:lineRule="auto"/>
              <w:ind w:right="0" w:hanging="360"/>
            </w:pPr>
            <w:r>
              <w:rPr>
                <w:b w:val="0"/>
              </w:rPr>
              <w:t xml:space="preserve">make provision for the </w:t>
            </w:r>
            <w:proofErr w:type="spellStart"/>
            <w:r>
              <w:rPr>
                <w:b w:val="0"/>
              </w:rPr>
              <w:t>specialised</w:t>
            </w:r>
            <w:proofErr w:type="spellEnd"/>
            <w:r>
              <w:rPr>
                <w:b w:val="0"/>
              </w:rPr>
              <w:t xml:space="preserve"> training of nay employee of the Commission and, in that connection, to offer scholarship to intending trainees or otherwise pay for the cost of the training and all expenditure incidental thereto.  </w:t>
            </w:r>
          </w:p>
          <w:p w14:paraId="6982AC4C" w14:textId="77777777" w:rsidR="00273FF0" w:rsidRDefault="00000000">
            <w:pPr>
              <w:spacing w:after="0"/>
              <w:ind w:left="1" w:right="0" w:firstLine="0"/>
            </w:pPr>
            <w:r>
              <w:rPr>
                <w:b w:val="0"/>
              </w:rPr>
              <w:t xml:space="preserve"> </w:t>
            </w:r>
          </w:p>
        </w:tc>
      </w:tr>
    </w:tbl>
    <w:p w14:paraId="31CB7439" w14:textId="77777777" w:rsidR="00273FF0" w:rsidRDefault="00273FF0">
      <w:pPr>
        <w:spacing w:after="0"/>
        <w:ind w:left="-1440" w:right="10800" w:firstLine="0"/>
      </w:pPr>
    </w:p>
    <w:tbl>
      <w:tblPr>
        <w:tblStyle w:val="TableGrid"/>
        <w:tblW w:w="10252" w:type="dxa"/>
        <w:tblInd w:w="-540" w:type="dxa"/>
        <w:tblCellMar>
          <w:top w:w="47" w:type="dxa"/>
          <w:left w:w="108" w:type="dxa"/>
          <w:bottom w:w="0" w:type="dxa"/>
          <w:right w:w="53" w:type="dxa"/>
        </w:tblCellMar>
        <w:tblLook w:val="04A0" w:firstRow="1" w:lastRow="0" w:firstColumn="1" w:lastColumn="0" w:noHBand="0" w:noVBand="1"/>
      </w:tblPr>
      <w:tblGrid>
        <w:gridCol w:w="10252"/>
      </w:tblGrid>
      <w:tr w:rsidR="00273FF0" w14:paraId="791E2926" w14:textId="77777777">
        <w:trPr>
          <w:trHeight w:val="630"/>
        </w:trPr>
        <w:tc>
          <w:tcPr>
            <w:tcW w:w="10252" w:type="dxa"/>
            <w:tcBorders>
              <w:top w:val="single" w:sz="4" w:space="0" w:color="000000"/>
              <w:left w:val="single" w:sz="4" w:space="0" w:color="000000"/>
              <w:bottom w:val="single" w:sz="4" w:space="0" w:color="000000"/>
              <w:right w:val="single" w:sz="4" w:space="0" w:color="000000"/>
            </w:tcBorders>
          </w:tcPr>
          <w:p w14:paraId="65368F23" w14:textId="77777777" w:rsidR="00273FF0" w:rsidRDefault="00000000">
            <w:pPr>
              <w:spacing w:after="0"/>
              <w:ind w:left="0" w:right="0" w:firstLine="0"/>
            </w:pPr>
            <w:r>
              <w:rPr>
                <w:b w:val="0"/>
              </w:rPr>
              <w:t xml:space="preserve"> </w:t>
            </w:r>
          </w:p>
        </w:tc>
      </w:tr>
      <w:tr w:rsidR="00273FF0" w14:paraId="288AD841" w14:textId="77777777">
        <w:trPr>
          <w:trHeight w:val="538"/>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151D852D" w14:textId="77777777" w:rsidR="00273FF0" w:rsidRDefault="00000000">
            <w:pPr>
              <w:spacing w:after="0"/>
              <w:ind w:left="0" w:right="0" w:firstLine="0"/>
            </w:pPr>
            <w:r>
              <w:t>Section B: 2) Obligations under PATI Act</w:t>
            </w:r>
            <w:r>
              <w:rPr>
                <w:b w:val="0"/>
              </w:rPr>
              <w:t xml:space="preserve"> </w:t>
            </w:r>
            <w:r>
              <w:t>[s. 5(1)(b) PATI Act]</w:t>
            </w:r>
            <w:r>
              <w:rPr>
                <w:b w:val="0"/>
              </w:rPr>
              <w:t xml:space="preserve"> </w:t>
            </w:r>
          </w:p>
        </w:tc>
      </w:tr>
      <w:tr w:rsidR="00273FF0" w14:paraId="75198C27" w14:textId="77777777">
        <w:trPr>
          <w:trHeight w:val="10883"/>
        </w:trPr>
        <w:tc>
          <w:tcPr>
            <w:tcW w:w="10252" w:type="dxa"/>
            <w:tcBorders>
              <w:top w:val="single" w:sz="4" w:space="0" w:color="000000"/>
              <w:left w:val="single" w:sz="4" w:space="0" w:color="000000"/>
              <w:bottom w:val="single" w:sz="4" w:space="0" w:color="000000"/>
              <w:right w:val="single" w:sz="4" w:space="0" w:color="000000"/>
            </w:tcBorders>
            <w:vAlign w:val="center"/>
          </w:tcPr>
          <w:p w14:paraId="71970556" w14:textId="77777777" w:rsidR="00273FF0" w:rsidRDefault="00000000">
            <w:pPr>
              <w:numPr>
                <w:ilvl w:val="0"/>
                <w:numId w:val="7"/>
              </w:numPr>
              <w:spacing w:after="84"/>
              <w:ind w:right="0" w:hanging="360"/>
            </w:pPr>
            <w:r>
              <w:rPr>
                <w:b w:val="0"/>
              </w:rPr>
              <w:lastRenderedPageBreak/>
              <w:t>To provide an Information Statement for the public and to promulgate it [s. 5</w:t>
            </w:r>
            <w:proofErr w:type="gramStart"/>
            <w:r>
              <w:rPr>
                <w:b w:val="0"/>
              </w:rPr>
              <w:t>];</w:t>
            </w:r>
            <w:proofErr w:type="gramEnd"/>
            <w:r>
              <w:rPr>
                <w:b w:val="0"/>
              </w:rPr>
              <w:t xml:space="preserve">  </w:t>
            </w:r>
          </w:p>
          <w:p w14:paraId="49B49845" w14:textId="77777777" w:rsidR="00273FF0" w:rsidRDefault="00000000">
            <w:pPr>
              <w:numPr>
                <w:ilvl w:val="0"/>
                <w:numId w:val="7"/>
              </w:numPr>
              <w:spacing w:after="134" w:line="239" w:lineRule="auto"/>
              <w:ind w:right="0" w:hanging="360"/>
            </w:pPr>
            <w:r>
              <w:rPr>
                <w:b w:val="0"/>
              </w:rPr>
              <w:t xml:space="preserve">To provide other information to the public so that the public needs only to have minimum resort to the use of PATI to obtain information [s. 6]. This includes: </w:t>
            </w:r>
          </w:p>
          <w:p w14:paraId="30427BCA" w14:textId="77777777" w:rsidR="00273FF0" w:rsidRDefault="00000000">
            <w:pPr>
              <w:numPr>
                <w:ilvl w:val="1"/>
                <w:numId w:val="7"/>
              </w:numPr>
              <w:spacing w:after="113"/>
              <w:ind w:right="0" w:firstLine="0"/>
            </w:pPr>
            <w:r>
              <w:rPr>
                <w:b w:val="0"/>
              </w:rPr>
              <w:t xml:space="preserve">General information, e.g., activities of the Authority   </w:t>
            </w:r>
          </w:p>
          <w:p w14:paraId="0193BD5E" w14:textId="77777777" w:rsidR="00273FF0" w:rsidRDefault="00000000">
            <w:pPr>
              <w:numPr>
                <w:ilvl w:val="1"/>
                <w:numId w:val="7"/>
              </w:numPr>
              <w:spacing w:after="14" w:line="358" w:lineRule="auto"/>
              <w:ind w:right="0" w:firstLine="0"/>
            </w:pPr>
            <w:r>
              <w:rPr>
                <w:b w:val="0"/>
              </w:rPr>
              <w:t xml:space="preserve">Log of all information requests and their outcome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rPr>
                <w:b w:val="0"/>
              </w:rPr>
              <w:t xml:space="preserve">Quarterly expenditure (upon request) [s. 6(5)] </w:t>
            </w:r>
            <w:r>
              <w:rPr>
                <w:rFonts w:ascii="Wingdings" w:eastAsia="Wingdings" w:hAnsi="Wingdings" w:cs="Wingdings"/>
                <w:b w:val="0"/>
              </w:rPr>
              <w:t></w:t>
            </w:r>
            <w:r>
              <w:rPr>
                <w:rFonts w:ascii="Arial" w:eastAsia="Arial" w:hAnsi="Arial" w:cs="Arial"/>
                <w:b w:val="0"/>
              </w:rPr>
              <w:t xml:space="preserve"> </w:t>
            </w:r>
            <w:r>
              <w:rPr>
                <w:rFonts w:ascii="Arial" w:eastAsia="Arial" w:hAnsi="Arial" w:cs="Arial"/>
                <w:b w:val="0"/>
              </w:rPr>
              <w:tab/>
            </w:r>
            <w:r>
              <w:rPr>
                <w:b w:val="0"/>
              </w:rPr>
              <w:t xml:space="preserve">Contracts valued at $50,000 or more. </w:t>
            </w:r>
          </w:p>
          <w:p w14:paraId="1BD46F7B" w14:textId="77777777" w:rsidR="00273FF0" w:rsidRDefault="00000000">
            <w:pPr>
              <w:numPr>
                <w:ilvl w:val="0"/>
                <w:numId w:val="7"/>
              </w:numPr>
              <w:spacing w:after="99"/>
              <w:ind w:right="0" w:hanging="360"/>
            </w:pPr>
            <w:r>
              <w:rPr>
                <w:b w:val="0"/>
              </w:rPr>
              <w:t>To respond to information requests in a timely manner [s.12-16</w:t>
            </w:r>
            <w:proofErr w:type="gramStart"/>
            <w:r>
              <w:rPr>
                <w:b w:val="0"/>
              </w:rPr>
              <w:t>];</w:t>
            </w:r>
            <w:proofErr w:type="gramEnd"/>
            <w:r>
              <w:rPr>
                <w:b w:val="0"/>
              </w:rPr>
              <w:t xml:space="preserve"> </w:t>
            </w:r>
          </w:p>
          <w:p w14:paraId="3FC57B3B" w14:textId="77777777" w:rsidR="00273FF0" w:rsidRDefault="00000000">
            <w:pPr>
              <w:numPr>
                <w:ilvl w:val="0"/>
                <w:numId w:val="7"/>
              </w:numPr>
              <w:spacing w:after="99"/>
              <w:ind w:right="0" w:hanging="360"/>
            </w:pPr>
            <w:r>
              <w:rPr>
                <w:b w:val="0"/>
              </w:rPr>
              <w:t xml:space="preserve">To track information requests, and provide this data to the Information </w:t>
            </w:r>
            <w:proofErr w:type="gramStart"/>
            <w:r>
              <w:rPr>
                <w:b w:val="0"/>
              </w:rPr>
              <w:t>Commissioner;</w:t>
            </w:r>
            <w:proofErr w:type="gramEnd"/>
            <w:r>
              <w:rPr>
                <w:b w:val="0"/>
              </w:rPr>
              <w:t xml:space="preserve"> </w:t>
            </w:r>
          </w:p>
          <w:p w14:paraId="16155898" w14:textId="77777777" w:rsidR="00273FF0" w:rsidRDefault="00000000">
            <w:pPr>
              <w:numPr>
                <w:ilvl w:val="0"/>
                <w:numId w:val="7"/>
              </w:numPr>
              <w:spacing w:after="82"/>
              <w:ind w:right="0" w:hanging="360"/>
            </w:pPr>
            <w:r>
              <w:rPr>
                <w:b w:val="0"/>
              </w:rPr>
              <w:t>To respond to requests from the Information Commissioner [s. 9</w:t>
            </w:r>
            <w:proofErr w:type="gramStart"/>
            <w:r>
              <w:rPr>
                <w:b w:val="0"/>
              </w:rPr>
              <w:t>];</w:t>
            </w:r>
            <w:proofErr w:type="gramEnd"/>
            <w:r>
              <w:rPr>
                <w:b w:val="0"/>
              </w:rPr>
              <w:t xml:space="preserve"> </w:t>
            </w:r>
          </w:p>
          <w:p w14:paraId="4BF48C65" w14:textId="77777777" w:rsidR="00273FF0" w:rsidRDefault="00000000">
            <w:pPr>
              <w:numPr>
                <w:ilvl w:val="0"/>
                <w:numId w:val="7"/>
              </w:numPr>
              <w:spacing w:after="147" w:line="239" w:lineRule="auto"/>
              <w:ind w:right="0" w:hanging="360"/>
            </w:pPr>
            <w:r>
              <w:rPr>
                <w:b w:val="0"/>
              </w:rPr>
              <w:t>To amend personal information held by the Authority that it is wrong or misleading following a written request by the person to whom the information relates [s.19</w:t>
            </w:r>
            <w:proofErr w:type="gramStart"/>
            <w:r>
              <w:rPr>
                <w:b w:val="0"/>
              </w:rPr>
              <w:t>];</w:t>
            </w:r>
            <w:proofErr w:type="gramEnd"/>
            <w:r>
              <w:rPr>
                <w:b w:val="0"/>
              </w:rPr>
              <w:t xml:space="preserve"> </w:t>
            </w:r>
          </w:p>
          <w:p w14:paraId="7FBADBF9" w14:textId="77777777" w:rsidR="00273FF0" w:rsidRDefault="00000000">
            <w:pPr>
              <w:numPr>
                <w:ilvl w:val="0"/>
                <w:numId w:val="7"/>
              </w:numPr>
              <w:spacing w:after="84"/>
              <w:ind w:right="0" w:hanging="360"/>
            </w:pPr>
            <w:r>
              <w:rPr>
                <w:b w:val="0"/>
              </w:rPr>
              <w:t>To conduct an internal review if formally requested [Part 5</w:t>
            </w:r>
            <w:proofErr w:type="gramStart"/>
            <w:r>
              <w:rPr>
                <w:b w:val="0"/>
              </w:rPr>
              <w:t>];</w:t>
            </w:r>
            <w:proofErr w:type="gramEnd"/>
            <w:r>
              <w:rPr>
                <w:b w:val="0"/>
              </w:rPr>
              <w:t xml:space="preserve"> </w:t>
            </w:r>
          </w:p>
          <w:p w14:paraId="3E95E521" w14:textId="77777777" w:rsidR="00273FF0" w:rsidRDefault="00000000">
            <w:pPr>
              <w:numPr>
                <w:ilvl w:val="0"/>
                <w:numId w:val="7"/>
              </w:numPr>
              <w:spacing w:after="145" w:line="239" w:lineRule="auto"/>
              <w:ind w:right="0" w:hanging="360"/>
            </w:pPr>
            <w:r>
              <w:rPr>
                <w:b w:val="0"/>
              </w:rPr>
              <w:t xml:space="preserve">To give evidence for review by the Information Commissioner [Part 6, s. 47(4)], or for judicial review [s. 49], if </w:t>
            </w:r>
            <w:proofErr w:type="gramStart"/>
            <w:r>
              <w:rPr>
                <w:b w:val="0"/>
              </w:rPr>
              <w:t>required;</w:t>
            </w:r>
            <w:proofErr w:type="gramEnd"/>
            <w:r>
              <w:rPr>
                <w:b w:val="0"/>
              </w:rPr>
              <w:t xml:space="preserve"> </w:t>
            </w:r>
          </w:p>
          <w:p w14:paraId="1783FEA1" w14:textId="77777777" w:rsidR="00273FF0" w:rsidRDefault="00000000">
            <w:pPr>
              <w:numPr>
                <w:ilvl w:val="0"/>
                <w:numId w:val="7"/>
              </w:numPr>
              <w:spacing w:after="0"/>
              <w:ind w:right="0" w:hanging="360"/>
            </w:pPr>
            <w:r>
              <w:rPr>
                <w:b w:val="0"/>
              </w:rPr>
              <w:t xml:space="preserve">To provide an annual written report to the Information Commissioner of the status of information </w:t>
            </w:r>
          </w:p>
          <w:p w14:paraId="3DCC1F96" w14:textId="77777777" w:rsidR="00273FF0" w:rsidRDefault="00000000">
            <w:pPr>
              <w:spacing w:after="124"/>
              <w:ind w:left="684" w:right="0" w:firstLine="0"/>
            </w:pPr>
            <w:r>
              <w:rPr>
                <w:b w:val="0"/>
              </w:rPr>
              <w:t>requests [s. 58 (3)</w:t>
            </w:r>
            <w:proofErr w:type="gramStart"/>
            <w:r>
              <w:rPr>
                <w:b w:val="0"/>
              </w:rPr>
              <w:t>];</w:t>
            </w:r>
            <w:proofErr w:type="gramEnd"/>
            <w:r>
              <w:rPr>
                <w:b w:val="0"/>
              </w:rPr>
              <w:t xml:space="preserve"> </w:t>
            </w:r>
          </w:p>
          <w:p w14:paraId="5AE480B4" w14:textId="77777777" w:rsidR="00273FF0" w:rsidRDefault="00000000">
            <w:pPr>
              <w:numPr>
                <w:ilvl w:val="0"/>
                <w:numId w:val="7"/>
              </w:numPr>
              <w:spacing w:after="86"/>
              <w:ind w:right="0" w:hanging="360"/>
            </w:pPr>
            <w:r>
              <w:rPr>
                <w:b w:val="0"/>
              </w:rPr>
              <w:t xml:space="preserve">To do anything else as required under PATI and subsequent Regulations [s. 59 &amp; 60], including: </w:t>
            </w:r>
          </w:p>
          <w:p w14:paraId="0B2A509C" w14:textId="77777777" w:rsidR="00273FF0" w:rsidRDefault="00000000">
            <w:pPr>
              <w:numPr>
                <w:ilvl w:val="1"/>
                <w:numId w:val="7"/>
              </w:numPr>
              <w:spacing w:after="113"/>
              <w:ind w:right="0" w:firstLine="0"/>
            </w:pPr>
            <w:r>
              <w:rPr>
                <w:b w:val="0"/>
              </w:rPr>
              <w:t xml:space="preserve">Fees for requests for </w:t>
            </w:r>
            <w:proofErr w:type="gramStart"/>
            <w:r>
              <w:rPr>
                <w:b w:val="0"/>
              </w:rPr>
              <w:t>information;</w:t>
            </w:r>
            <w:proofErr w:type="gramEnd"/>
            <w:r>
              <w:rPr>
                <w:b w:val="0"/>
              </w:rPr>
              <w:t xml:space="preserve"> </w:t>
            </w:r>
          </w:p>
          <w:p w14:paraId="716334A1" w14:textId="77777777" w:rsidR="00273FF0" w:rsidRDefault="00000000">
            <w:pPr>
              <w:numPr>
                <w:ilvl w:val="1"/>
                <w:numId w:val="7"/>
              </w:numPr>
              <w:spacing w:after="113"/>
              <w:ind w:right="0" w:firstLine="0"/>
            </w:pPr>
            <w:r>
              <w:rPr>
                <w:b w:val="0"/>
              </w:rPr>
              <w:t xml:space="preserve">Management and maintenance of </w:t>
            </w:r>
            <w:proofErr w:type="gramStart"/>
            <w:r>
              <w:rPr>
                <w:b w:val="0"/>
              </w:rPr>
              <w:t>records;</w:t>
            </w:r>
            <w:proofErr w:type="gramEnd"/>
            <w:r>
              <w:rPr>
                <w:b w:val="0"/>
              </w:rPr>
              <w:t xml:space="preserve"> </w:t>
            </w:r>
          </w:p>
          <w:p w14:paraId="05E6FB07" w14:textId="77777777" w:rsidR="00273FF0" w:rsidRDefault="00000000">
            <w:pPr>
              <w:numPr>
                <w:ilvl w:val="1"/>
                <w:numId w:val="7"/>
              </w:numPr>
              <w:spacing w:after="125"/>
              <w:ind w:right="0" w:firstLine="0"/>
            </w:pPr>
            <w:r>
              <w:rPr>
                <w:b w:val="0"/>
              </w:rPr>
              <w:t xml:space="preserve">Procedures for administering </w:t>
            </w:r>
            <w:proofErr w:type="gramStart"/>
            <w:r>
              <w:rPr>
                <w:b w:val="0"/>
              </w:rPr>
              <w:t>PATI;</w:t>
            </w:r>
            <w:proofErr w:type="gramEnd"/>
            <w:r>
              <w:rPr>
                <w:b w:val="0"/>
              </w:rPr>
              <w:t xml:space="preserve"> </w:t>
            </w:r>
          </w:p>
          <w:p w14:paraId="0938FCCF" w14:textId="77777777" w:rsidR="00273FF0" w:rsidRDefault="00000000">
            <w:pPr>
              <w:numPr>
                <w:ilvl w:val="0"/>
                <w:numId w:val="7"/>
              </w:numPr>
              <w:spacing w:after="99"/>
              <w:ind w:right="0" w:hanging="360"/>
            </w:pPr>
            <w:r>
              <w:rPr>
                <w:b w:val="0"/>
              </w:rPr>
              <w:t xml:space="preserve">To train staff and </w:t>
            </w:r>
            <w:proofErr w:type="gramStart"/>
            <w:r>
              <w:rPr>
                <w:b w:val="0"/>
              </w:rPr>
              <w:t>make arrangements</w:t>
            </w:r>
            <w:proofErr w:type="gramEnd"/>
            <w:r>
              <w:rPr>
                <w:b w:val="0"/>
              </w:rPr>
              <w:t xml:space="preserve"> </w:t>
            </w:r>
            <w:proofErr w:type="gramStart"/>
            <w:r>
              <w:rPr>
                <w:b w:val="0"/>
              </w:rPr>
              <w:t>so as to</w:t>
            </w:r>
            <w:proofErr w:type="gramEnd"/>
            <w:r>
              <w:rPr>
                <w:b w:val="0"/>
              </w:rPr>
              <w:t xml:space="preserve"> facilitate compliance with PATI [s. 61]; and </w:t>
            </w:r>
          </w:p>
          <w:p w14:paraId="6A474CB1" w14:textId="77777777" w:rsidR="00273FF0" w:rsidRDefault="00000000">
            <w:pPr>
              <w:numPr>
                <w:ilvl w:val="0"/>
                <w:numId w:val="7"/>
              </w:numPr>
              <w:spacing w:after="189"/>
              <w:ind w:right="0" w:hanging="360"/>
            </w:pPr>
            <w:r>
              <w:rPr>
                <w:b w:val="0"/>
              </w:rPr>
              <w:t>To designate one of its officers to be the person to whom requests are directed [s. 62].</w:t>
            </w:r>
            <w:r>
              <w:t xml:space="preserve"> </w:t>
            </w:r>
          </w:p>
          <w:p w14:paraId="4C5604AE" w14:textId="77777777" w:rsidR="00273FF0" w:rsidRDefault="00000000">
            <w:pPr>
              <w:spacing w:after="218"/>
              <w:ind w:left="0" w:right="0" w:firstLine="0"/>
            </w:pPr>
            <w:r>
              <w:t xml:space="preserve"> </w:t>
            </w:r>
          </w:p>
          <w:p w14:paraId="1AFE7402" w14:textId="77777777" w:rsidR="00273FF0" w:rsidRDefault="00000000">
            <w:pPr>
              <w:spacing w:after="218"/>
              <w:ind w:left="0" w:right="0" w:firstLine="0"/>
            </w:pPr>
            <w:r>
              <w:t xml:space="preserve"> </w:t>
            </w:r>
          </w:p>
          <w:p w14:paraId="2EB540AD" w14:textId="77777777" w:rsidR="00273FF0" w:rsidRDefault="00000000">
            <w:pPr>
              <w:spacing w:after="218"/>
              <w:ind w:left="0" w:right="0" w:firstLine="0"/>
            </w:pPr>
            <w:r>
              <w:t xml:space="preserve"> </w:t>
            </w:r>
          </w:p>
          <w:p w14:paraId="7A7EFF6A" w14:textId="77777777" w:rsidR="00273FF0" w:rsidRDefault="00000000">
            <w:pPr>
              <w:spacing w:after="0"/>
              <w:ind w:left="0" w:right="0" w:firstLine="0"/>
            </w:pPr>
            <w:r>
              <w:t xml:space="preserve"> </w:t>
            </w:r>
          </w:p>
        </w:tc>
      </w:tr>
    </w:tbl>
    <w:p w14:paraId="70229DBD" w14:textId="77777777" w:rsidR="00273FF0" w:rsidRDefault="00273FF0">
      <w:pPr>
        <w:spacing w:after="0"/>
        <w:ind w:left="-1440" w:right="10800" w:firstLine="0"/>
      </w:pPr>
    </w:p>
    <w:tbl>
      <w:tblPr>
        <w:tblStyle w:val="TableGrid"/>
        <w:tblW w:w="10252" w:type="dxa"/>
        <w:tblInd w:w="-540" w:type="dxa"/>
        <w:tblCellMar>
          <w:top w:w="47" w:type="dxa"/>
          <w:left w:w="108" w:type="dxa"/>
          <w:bottom w:w="0" w:type="dxa"/>
          <w:right w:w="54" w:type="dxa"/>
        </w:tblCellMar>
        <w:tblLook w:val="04A0" w:firstRow="1" w:lastRow="0" w:firstColumn="1" w:lastColumn="0" w:noHBand="0" w:noVBand="1"/>
      </w:tblPr>
      <w:tblGrid>
        <w:gridCol w:w="10252"/>
      </w:tblGrid>
      <w:tr w:rsidR="00273FF0" w14:paraId="5711436E" w14:textId="77777777">
        <w:trPr>
          <w:trHeight w:val="538"/>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7B0A5950" w14:textId="77777777" w:rsidR="00273FF0" w:rsidRDefault="00000000">
            <w:pPr>
              <w:spacing w:after="0"/>
              <w:ind w:left="0" w:right="0" w:firstLine="0"/>
            </w:pPr>
            <w:r>
              <w:t>Section C: Services</w:t>
            </w:r>
            <w:r>
              <w:rPr>
                <w:b w:val="0"/>
              </w:rPr>
              <w:t xml:space="preserve"> </w:t>
            </w:r>
            <w:r>
              <w:t>[s.  5(1)(c) PATI Act]</w:t>
            </w:r>
            <w:r>
              <w:rPr>
                <w:b w:val="0"/>
              </w:rPr>
              <w:t xml:space="preserve"> </w:t>
            </w:r>
          </w:p>
        </w:tc>
      </w:tr>
      <w:tr w:rsidR="00273FF0" w14:paraId="34C72330" w14:textId="77777777">
        <w:trPr>
          <w:trHeight w:val="11600"/>
        </w:trPr>
        <w:tc>
          <w:tcPr>
            <w:tcW w:w="10252" w:type="dxa"/>
            <w:tcBorders>
              <w:top w:val="single" w:sz="4" w:space="0" w:color="000000"/>
              <w:left w:val="single" w:sz="4" w:space="0" w:color="000000"/>
              <w:bottom w:val="single" w:sz="4" w:space="0" w:color="000000"/>
              <w:right w:val="single" w:sz="4" w:space="0" w:color="000000"/>
            </w:tcBorders>
            <w:vAlign w:val="center"/>
          </w:tcPr>
          <w:p w14:paraId="4C54A60E" w14:textId="77777777" w:rsidR="00273FF0" w:rsidRDefault="00000000">
            <w:pPr>
              <w:spacing w:after="121" w:line="239" w:lineRule="auto"/>
              <w:ind w:left="0" w:right="47" w:firstLine="0"/>
              <w:jc w:val="both"/>
            </w:pPr>
            <w:r>
              <w:rPr>
                <w:b w:val="0"/>
              </w:rPr>
              <w:lastRenderedPageBreak/>
              <w:t xml:space="preserve">The Gaming Act 2014 was enacted to meet the challenge of enhancing investment, tourism, and employment in Bermuda through the introduction of up to three (3) Integrated Resort Casinos. </w:t>
            </w:r>
            <w:proofErr w:type="gramStart"/>
            <w:r>
              <w:rPr>
                <w:b w:val="0"/>
              </w:rPr>
              <w:t>In order to</w:t>
            </w:r>
            <w:proofErr w:type="gramEnd"/>
            <w:r>
              <w:rPr>
                <w:b w:val="0"/>
              </w:rPr>
              <w:t xml:space="preserve"> ensure the orderly introduction and operation of these facilities, the Commission is empowered to satisfy the following five (5) goals in the execution of its duties  </w:t>
            </w:r>
          </w:p>
          <w:p w14:paraId="667351C8" w14:textId="77777777" w:rsidR="00273FF0" w:rsidRDefault="00000000">
            <w:pPr>
              <w:spacing w:after="110"/>
              <w:ind w:left="0" w:right="0" w:firstLine="0"/>
            </w:pPr>
            <w:r>
              <w:rPr>
                <w:b w:val="0"/>
              </w:rPr>
              <w:t xml:space="preserve">(r. 3 of the Gaming Regulations 2018): </w:t>
            </w:r>
          </w:p>
          <w:p w14:paraId="711558AB" w14:textId="77777777" w:rsidR="00273FF0" w:rsidRDefault="00000000">
            <w:pPr>
              <w:numPr>
                <w:ilvl w:val="0"/>
                <w:numId w:val="8"/>
              </w:numPr>
              <w:spacing w:after="147" w:line="240" w:lineRule="auto"/>
              <w:ind w:right="0" w:hanging="360"/>
            </w:pPr>
            <w:r>
              <w:rPr>
                <w:b w:val="0"/>
              </w:rPr>
              <w:t xml:space="preserve">The owners, vendors, managers, employees, and sources of finance should be free from any inappropriate past or present associations and </w:t>
            </w:r>
            <w:proofErr w:type="spellStart"/>
            <w:r>
              <w:rPr>
                <w:b w:val="0"/>
              </w:rPr>
              <w:t>behaviours</w:t>
            </w:r>
            <w:proofErr w:type="spellEnd"/>
            <w:r>
              <w:rPr>
                <w:b w:val="0"/>
              </w:rPr>
              <w:t xml:space="preserve">, and uphold high ethical </w:t>
            </w:r>
            <w:proofErr w:type="gramStart"/>
            <w:r>
              <w:rPr>
                <w:b w:val="0"/>
              </w:rPr>
              <w:t>standards;</w:t>
            </w:r>
            <w:proofErr w:type="gramEnd"/>
            <w:r>
              <w:rPr>
                <w:b w:val="0"/>
              </w:rPr>
              <w:t xml:space="preserve"> </w:t>
            </w:r>
          </w:p>
          <w:p w14:paraId="5AF7915B" w14:textId="77777777" w:rsidR="00273FF0" w:rsidRDefault="00000000">
            <w:pPr>
              <w:numPr>
                <w:ilvl w:val="0"/>
                <w:numId w:val="8"/>
              </w:numPr>
              <w:spacing w:after="99"/>
              <w:ind w:right="0" w:hanging="360"/>
            </w:pPr>
            <w:r>
              <w:rPr>
                <w:b w:val="0"/>
              </w:rPr>
              <w:t xml:space="preserve">The casinos should possess sound operational and financial </w:t>
            </w:r>
            <w:proofErr w:type="gramStart"/>
            <w:r>
              <w:rPr>
                <w:b w:val="0"/>
              </w:rPr>
              <w:t>controls;</w:t>
            </w:r>
            <w:proofErr w:type="gramEnd"/>
            <w:r>
              <w:rPr>
                <w:b w:val="0"/>
              </w:rPr>
              <w:t xml:space="preserve"> </w:t>
            </w:r>
          </w:p>
          <w:p w14:paraId="66902600" w14:textId="77777777" w:rsidR="00273FF0" w:rsidRDefault="00000000">
            <w:pPr>
              <w:numPr>
                <w:ilvl w:val="0"/>
                <w:numId w:val="8"/>
              </w:numPr>
              <w:spacing w:after="96"/>
              <w:ind w:right="0" w:hanging="360"/>
            </w:pPr>
            <w:r>
              <w:rPr>
                <w:b w:val="0"/>
              </w:rPr>
              <w:t xml:space="preserve">The games offered should be fair, honest, and operate with a high level of security and </w:t>
            </w:r>
            <w:proofErr w:type="gramStart"/>
            <w:r>
              <w:rPr>
                <w:b w:val="0"/>
              </w:rPr>
              <w:t>integrity;</w:t>
            </w:r>
            <w:proofErr w:type="gramEnd"/>
            <w:r>
              <w:rPr>
                <w:b w:val="0"/>
              </w:rPr>
              <w:t xml:space="preserve"> </w:t>
            </w:r>
          </w:p>
          <w:p w14:paraId="430EB4F4" w14:textId="77777777" w:rsidR="00273FF0" w:rsidRDefault="00000000">
            <w:pPr>
              <w:numPr>
                <w:ilvl w:val="0"/>
                <w:numId w:val="8"/>
              </w:numPr>
              <w:spacing w:after="99"/>
              <w:ind w:right="0" w:hanging="360"/>
            </w:pPr>
            <w:r>
              <w:rPr>
                <w:b w:val="0"/>
              </w:rPr>
              <w:t xml:space="preserve">All fees, taxes, and related payments, should be appropriately accounted for and paid; and </w:t>
            </w:r>
          </w:p>
          <w:p w14:paraId="2640BE26" w14:textId="77777777" w:rsidR="00273FF0" w:rsidRDefault="00000000">
            <w:pPr>
              <w:numPr>
                <w:ilvl w:val="0"/>
                <w:numId w:val="8"/>
              </w:numPr>
              <w:spacing w:after="72"/>
              <w:ind w:right="0" w:hanging="360"/>
            </w:pPr>
            <w:r>
              <w:rPr>
                <w:b w:val="0"/>
              </w:rPr>
              <w:t xml:space="preserve">Controls should be in place to protect the vulnerable. </w:t>
            </w:r>
          </w:p>
          <w:p w14:paraId="1CCB728D" w14:textId="77777777" w:rsidR="00273FF0" w:rsidRDefault="00000000">
            <w:pPr>
              <w:spacing w:after="218"/>
              <w:ind w:left="0" w:right="0" w:firstLine="0"/>
            </w:pPr>
            <w:r>
              <w:rPr>
                <w:b w:val="0"/>
              </w:rPr>
              <w:t xml:space="preserve">In 2021 the Commissions responsibilities were expanded to include the following sectors: </w:t>
            </w:r>
          </w:p>
          <w:p w14:paraId="43F64E49" w14:textId="77777777" w:rsidR="00273FF0" w:rsidRDefault="00000000">
            <w:pPr>
              <w:numPr>
                <w:ilvl w:val="0"/>
                <w:numId w:val="9"/>
              </w:numPr>
              <w:spacing w:after="0"/>
              <w:ind w:right="0" w:hanging="360"/>
            </w:pPr>
            <w:r>
              <w:rPr>
                <w:b w:val="0"/>
              </w:rPr>
              <w:t xml:space="preserve">Betting shops </w:t>
            </w:r>
          </w:p>
          <w:p w14:paraId="5B260FCC" w14:textId="77777777" w:rsidR="00273FF0" w:rsidRDefault="00000000">
            <w:pPr>
              <w:numPr>
                <w:ilvl w:val="0"/>
                <w:numId w:val="9"/>
              </w:numPr>
              <w:spacing w:after="0"/>
              <w:ind w:right="0" w:hanging="360"/>
            </w:pPr>
            <w:r>
              <w:rPr>
                <w:b w:val="0"/>
              </w:rPr>
              <w:t xml:space="preserve">Lotteries </w:t>
            </w:r>
          </w:p>
          <w:p w14:paraId="5E38F7AC" w14:textId="77777777" w:rsidR="00273FF0" w:rsidRDefault="00000000">
            <w:pPr>
              <w:numPr>
                <w:ilvl w:val="0"/>
                <w:numId w:val="9"/>
              </w:numPr>
              <w:spacing w:after="0"/>
              <w:ind w:right="0" w:hanging="360"/>
            </w:pPr>
            <w:r>
              <w:rPr>
                <w:b w:val="0"/>
              </w:rPr>
              <w:t xml:space="preserve">Cruise Ship casinos, and </w:t>
            </w:r>
          </w:p>
          <w:p w14:paraId="4A827745" w14:textId="77777777" w:rsidR="00273FF0" w:rsidRDefault="00000000">
            <w:pPr>
              <w:numPr>
                <w:ilvl w:val="0"/>
                <w:numId w:val="9"/>
              </w:numPr>
              <w:spacing w:after="216"/>
              <w:ind w:right="0" w:hanging="360"/>
            </w:pPr>
            <w:r>
              <w:rPr>
                <w:b w:val="0"/>
              </w:rPr>
              <w:t xml:space="preserve">Crown and Anchor. </w:t>
            </w:r>
          </w:p>
          <w:p w14:paraId="0A268097" w14:textId="77777777" w:rsidR="00273FF0" w:rsidRDefault="00000000">
            <w:pPr>
              <w:spacing w:after="147" w:line="239" w:lineRule="auto"/>
              <w:ind w:left="0" w:right="0" w:firstLine="0"/>
              <w:jc w:val="both"/>
            </w:pPr>
            <w:r>
              <w:rPr>
                <w:b w:val="0"/>
              </w:rPr>
              <w:t xml:space="preserve">In ensuring the achievement of the public policy goals of the Act in ways that are smart, economical, and efficient, Bermuda’s regulatory model is based on providing the following services:  </w:t>
            </w:r>
          </w:p>
          <w:p w14:paraId="021FD143" w14:textId="77777777" w:rsidR="00273FF0" w:rsidRDefault="00000000">
            <w:pPr>
              <w:numPr>
                <w:ilvl w:val="0"/>
                <w:numId w:val="8"/>
              </w:numPr>
              <w:spacing w:after="84"/>
              <w:ind w:right="0" w:hanging="360"/>
            </w:pPr>
            <w:r>
              <w:rPr>
                <w:b w:val="0"/>
              </w:rPr>
              <w:t xml:space="preserve">To offer an approach that is appropriate to the social, cultural, and economic realities of </w:t>
            </w:r>
            <w:proofErr w:type="gramStart"/>
            <w:r>
              <w:rPr>
                <w:b w:val="0"/>
              </w:rPr>
              <w:t>Bermuda;</w:t>
            </w:r>
            <w:proofErr w:type="gramEnd"/>
            <w:r>
              <w:rPr>
                <w:b w:val="0"/>
              </w:rPr>
              <w:t xml:space="preserve"> </w:t>
            </w:r>
          </w:p>
          <w:p w14:paraId="19ABB7DB" w14:textId="77777777" w:rsidR="00273FF0" w:rsidRDefault="00000000">
            <w:pPr>
              <w:numPr>
                <w:ilvl w:val="0"/>
                <w:numId w:val="8"/>
              </w:numPr>
              <w:spacing w:after="130" w:line="240" w:lineRule="auto"/>
              <w:ind w:right="0" w:hanging="360"/>
            </w:pPr>
            <w:r>
              <w:rPr>
                <w:b w:val="0"/>
              </w:rPr>
              <w:t xml:space="preserve">To offer a human resource policy of being staffed by a limited number of high-performance individuals comprising the regulatory leadership </w:t>
            </w:r>
            <w:proofErr w:type="gramStart"/>
            <w:r>
              <w:rPr>
                <w:b w:val="0"/>
              </w:rPr>
              <w:t>team;</w:t>
            </w:r>
            <w:proofErr w:type="gramEnd"/>
            <w:r>
              <w:rPr>
                <w:b w:val="0"/>
              </w:rPr>
              <w:t xml:space="preserve"> </w:t>
            </w:r>
          </w:p>
          <w:p w14:paraId="6BB90F18" w14:textId="77777777" w:rsidR="00273FF0" w:rsidRDefault="00000000">
            <w:pPr>
              <w:numPr>
                <w:ilvl w:val="0"/>
                <w:numId w:val="8"/>
              </w:numPr>
              <w:spacing w:after="147" w:line="240" w:lineRule="auto"/>
              <w:ind w:right="0" w:hanging="360"/>
            </w:pPr>
            <w:r>
              <w:rPr>
                <w:b w:val="0"/>
              </w:rPr>
              <w:t xml:space="preserve">To work in a collaborative fashion with other global regulatory entities to achieve efficiencies and avoid duplicative </w:t>
            </w:r>
            <w:proofErr w:type="gramStart"/>
            <w:r>
              <w:rPr>
                <w:b w:val="0"/>
              </w:rPr>
              <w:t>actions;</w:t>
            </w:r>
            <w:proofErr w:type="gramEnd"/>
            <w:r>
              <w:rPr>
                <w:b w:val="0"/>
              </w:rPr>
              <w:t xml:space="preserve"> </w:t>
            </w:r>
          </w:p>
          <w:p w14:paraId="358507F3" w14:textId="77777777" w:rsidR="00273FF0" w:rsidRDefault="00000000">
            <w:pPr>
              <w:numPr>
                <w:ilvl w:val="0"/>
                <w:numId w:val="8"/>
              </w:numPr>
              <w:spacing w:after="73"/>
              <w:ind w:right="0" w:hanging="360"/>
            </w:pPr>
            <w:r>
              <w:rPr>
                <w:b w:val="0"/>
              </w:rPr>
              <w:t xml:space="preserve">To utilize the expertise and services of </w:t>
            </w:r>
            <w:proofErr w:type="gramStart"/>
            <w:r>
              <w:rPr>
                <w:b w:val="0"/>
              </w:rPr>
              <w:t>third-parties</w:t>
            </w:r>
            <w:proofErr w:type="gramEnd"/>
            <w:r>
              <w:rPr>
                <w:b w:val="0"/>
              </w:rPr>
              <w:t xml:space="preserve"> for –  </w:t>
            </w:r>
          </w:p>
          <w:p w14:paraId="4B8ED569" w14:textId="77777777" w:rsidR="00273FF0" w:rsidRDefault="00000000">
            <w:pPr>
              <w:numPr>
                <w:ilvl w:val="1"/>
                <w:numId w:val="8"/>
              </w:numPr>
              <w:spacing w:after="26" w:line="353" w:lineRule="auto"/>
              <w:ind w:right="2217" w:firstLine="0"/>
            </w:pPr>
            <w:r>
              <w:rPr>
                <w:b w:val="0"/>
              </w:rPr>
              <w:t xml:space="preserve">Forensic accounting for suitability of applicants; </w:t>
            </w:r>
            <w:r>
              <w:rPr>
                <w:rFonts w:ascii="Courier New" w:eastAsia="Courier New" w:hAnsi="Courier New" w:cs="Courier New"/>
                <w:b w:val="0"/>
              </w:rPr>
              <w:t>o</w:t>
            </w:r>
            <w:r>
              <w:rPr>
                <w:rFonts w:ascii="Arial" w:eastAsia="Arial" w:hAnsi="Arial" w:cs="Arial"/>
                <w:b w:val="0"/>
              </w:rPr>
              <w:t xml:space="preserve"> </w:t>
            </w:r>
            <w:r>
              <w:rPr>
                <w:b w:val="0"/>
              </w:rPr>
              <w:t xml:space="preserve">Criminal &amp; civil suitability investigations; </w:t>
            </w:r>
            <w:r>
              <w:rPr>
                <w:rFonts w:ascii="Courier New" w:eastAsia="Courier New" w:hAnsi="Courier New" w:cs="Courier New"/>
                <w:b w:val="0"/>
              </w:rPr>
              <w:t>o</w:t>
            </w:r>
            <w:r>
              <w:rPr>
                <w:rFonts w:ascii="Arial" w:eastAsia="Arial" w:hAnsi="Arial" w:cs="Arial"/>
                <w:b w:val="0"/>
              </w:rPr>
              <w:t xml:space="preserve"> </w:t>
            </w:r>
            <w:r>
              <w:rPr>
                <w:b w:val="0"/>
              </w:rPr>
              <w:t xml:space="preserve">Compliance auditing assistance; and </w:t>
            </w:r>
            <w:r>
              <w:rPr>
                <w:rFonts w:ascii="Courier New" w:eastAsia="Courier New" w:hAnsi="Courier New" w:cs="Courier New"/>
                <w:b w:val="0"/>
              </w:rPr>
              <w:t>o</w:t>
            </w:r>
            <w:r>
              <w:rPr>
                <w:rFonts w:ascii="Arial" w:eastAsia="Arial" w:hAnsi="Arial" w:cs="Arial"/>
                <w:b w:val="0"/>
              </w:rPr>
              <w:t xml:space="preserve"> </w:t>
            </w:r>
            <w:r>
              <w:rPr>
                <w:b w:val="0"/>
              </w:rPr>
              <w:t xml:space="preserve">Technological standards and testing. </w:t>
            </w:r>
          </w:p>
          <w:p w14:paraId="419DF8B5" w14:textId="77777777" w:rsidR="00273FF0" w:rsidRDefault="00000000">
            <w:pPr>
              <w:numPr>
                <w:ilvl w:val="0"/>
                <w:numId w:val="8"/>
              </w:numPr>
              <w:spacing w:after="70"/>
              <w:ind w:right="0" w:hanging="360"/>
            </w:pPr>
            <w:r>
              <w:rPr>
                <w:b w:val="0"/>
              </w:rPr>
              <w:t xml:space="preserve">To mandate the establishment of a casino operator’s Compliance Committee whereby –  </w:t>
            </w:r>
          </w:p>
          <w:p w14:paraId="645B103E" w14:textId="77777777" w:rsidR="00273FF0" w:rsidRDefault="00000000">
            <w:pPr>
              <w:numPr>
                <w:ilvl w:val="1"/>
                <w:numId w:val="8"/>
              </w:numPr>
              <w:spacing w:after="0"/>
              <w:ind w:right="2217" w:firstLine="0"/>
            </w:pPr>
            <w:r>
              <w:rPr>
                <w:b w:val="0"/>
              </w:rPr>
              <w:t xml:space="preserve">The operator performs many tasks traditionally performed by the regulatory entity, with the </w:t>
            </w:r>
          </w:p>
          <w:p w14:paraId="148B0839" w14:textId="77777777" w:rsidR="00273FF0" w:rsidRDefault="00000000">
            <w:pPr>
              <w:spacing w:after="0"/>
              <w:ind w:left="1080" w:right="47" w:firstLine="360"/>
            </w:pPr>
            <w:r>
              <w:rPr>
                <w:b w:val="0"/>
              </w:rPr>
              <w:t xml:space="preserve">Commission staff performing audits to ensure compliance; and </w:t>
            </w:r>
            <w:r>
              <w:rPr>
                <w:rFonts w:ascii="Courier New" w:eastAsia="Courier New" w:hAnsi="Courier New" w:cs="Courier New"/>
                <w:b w:val="0"/>
              </w:rPr>
              <w:t>o</w:t>
            </w:r>
            <w:r>
              <w:rPr>
                <w:rFonts w:ascii="Arial" w:eastAsia="Arial" w:hAnsi="Arial" w:cs="Arial"/>
                <w:b w:val="0"/>
              </w:rPr>
              <w:t xml:space="preserve"> </w:t>
            </w:r>
            <w:r>
              <w:rPr>
                <w:b w:val="0"/>
              </w:rPr>
              <w:t xml:space="preserve">The Compliance Committee is required to report all compliance failures to the Commission staff. </w:t>
            </w:r>
          </w:p>
        </w:tc>
      </w:tr>
    </w:tbl>
    <w:p w14:paraId="569DAFEB" w14:textId="77777777" w:rsidR="00273FF0" w:rsidRDefault="00273FF0">
      <w:pPr>
        <w:spacing w:after="0"/>
        <w:ind w:left="-1440" w:right="10800" w:firstLine="0"/>
      </w:pPr>
    </w:p>
    <w:tbl>
      <w:tblPr>
        <w:tblStyle w:val="TableGrid"/>
        <w:tblW w:w="10252" w:type="dxa"/>
        <w:tblInd w:w="-540" w:type="dxa"/>
        <w:tblCellMar>
          <w:top w:w="47" w:type="dxa"/>
          <w:left w:w="108" w:type="dxa"/>
          <w:bottom w:w="0" w:type="dxa"/>
          <w:right w:w="54" w:type="dxa"/>
        </w:tblCellMar>
        <w:tblLook w:val="04A0" w:firstRow="1" w:lastRow="0" w:firstColumn="1" w:lastColumn="0" w:noHBand="0" w:noVBand="1"/>
      </w:tblPr>
      <w:tblGrid>
        <w:gridCol w:w="10252"/>
      </w:tblGrid>
      <w:tr w:rsidR="00273FF0" w14:paraId="0CBC5E43" w14:textId="77777777">
        <w:trPr>
          <w:trHeight w:val="2365"/>
        </w:trPr>
        <w:tc>
          <w:tcPr>
            <w:tcW w:w="10252" w:type="dxa"/>
            <w:tcBorders>
              <w:top w:val="single" w:sz="4" w:space="0" w:color="000000"/>
              <w:left w:val="single" w:sz="4" w:space="0" w:color="000000"/>
              <w:bottom w:val="single" w:sz="4" w:space="0" w:color="000000"/>
              <w:right w:val="single" w:sz="4" w:space="0" w:color="000000"/>
            </w:tcBorders>
          </w:tcPr>
          <w:p w14:paraId="7A72AF25" w14:textId="77777777" w:rsidR="00273FF0" w:rsidRDefault="00000000">
            <w:pPr>
              <w:numPr>
                <w:ilvl w:val="0"/>
                <w:numId w:val="10"/>
              </w:numPr>
              <w:spacing w:after="71"/>
              <w:ind w:right="0" w:hanging="360"/>
            </w:pPr>
            <w:r>
              <w:rPr>
                <w:b w:val="0"/>
              </w:rPr>
              <w:lastRenderedPageBreak/>
              <w:t xml:space="preserve">To be less reliant on prescriptive regulations by: </w:t>
            </w:r>
          </w:p>
          <w:p w14:paraId="1CB62A69" w14:textId="77777777" w:rsidR="00273FF0" w:rsidRDefault="00000000">
            <w:pPr>
              <w:spacing w:after="11" w:line="353" w:lineRule="auto"/>
              <w:ind w:left="1080" w:right="3535" w:firstLine="0"/>
            </w:pPr>
            <w:r>
              <w:rPr>
                <w:rFonts w:ascii="Courier New" w:eastAsia="Courier New" w:hAnsi="Courier New" w:cs="Courier New"/>
                <w:b w:val="0"/>
              </w:rPr>
              <w:t>o</w:t>
            </w:r>
            <w:r>
              <w:rPr>
                <w:rFonts w:ascii="Arial" w:eastAsia="Arial" w:hAnsi="Arial" w:cs="Arial"/>
                <w:b w:val="0"/>
              </w:rPr>
              <w:t xml:space="preserve"> </w:t>
            </w:r>
            <w:r>
              <w:rPr>
                <w:b w:val="0"/>
              </w:rPr>
              <w:t xml:space="preserve">Moving to risk-based methodologies; </w:t>
            </w:r>
            <w:r>
              <w:rPr>
                <w:rFonts w:ascii="Courier New" w:eastAsia="Courier New" w:hAnsi="Courier New" w:cs="Courier New"/>
                <w:b w:val="0"/>
              </w:rPr>
              <w:t>o</w:t>
            </w:r>
            <w:r>
              <w:rPr>
                <w:rFonts w:ascii="Arial" w:eastAsia="Arial" w:hAnsi="Arial" w:cs="Arial"/>
                <w:b w:val="0"/>
              </w:rPr>
              <w:t xml:space="preserve"> </w:t>
            </w:r>
            <w:r>
              <w:rPr>
                <w:b w:val="0"/>
              </w:rPr>
              <w:t xml:space="preserve">Establishing stated goals and standards; and </w:t>
            </w:r>
            <w:r>
              <w:rPr>
                <w:rFonts w:ascii="Courier New" w:eastAsia="Courier New" w:hAnsi="Courier New" w:cs="Courier New"/>
                <w:b w:val="0"/>
              </w:rPr>
              <w:t>o</w:t>
            </w:r>
            <w:r>
              <w:rPr>
                <w:rFonts w:ascii="Arial" w:eastAsia="Arial" w:hAnsi="Arial" w:cs="Arial"/>
                <w:b w:val="0"/>
              </w:rPr>
              <w:t xml:space="preserve"> </w:t>
            </w:r>
            <w:r>
              <w:rPr>
                <w:b w:val="0"/>
              </w:rPr>
              <w:t>Enhancing dependence on user defined internal controls.</w:t>
            </w:r>
            <w:r>
              <w:t xml:space="preserve"> </w:t>
            </w:r>
          </w:p>
          <w:p w14:paraId="1385BD50" w14:textId="77777777" w:rsidR="00273FF0" w:rsidRDefault="00000000">
            <w:pPr>
              <w:numPr>
                <w:ilvl w:val="0"/>
                <w:numId w:val="10"/>
              </w:numPr>
              <w:spacing w:after="0"/>
              <w:ind w:right="0" w:hanging="360"/>
            </w:pPr>
            <w:r>
              <w:rPr>
                <w:b w:val="0"/>
              </w:rPr>
              <w:t>To utilize an evidence-based best practices approach in developing a program to provide protections to the vulnerable, working in concert with existing treatment providers.</w:t>
            </w:r>
            <w:r>
              <w:t xml:space="preserve"> </w:t>
            </w:r>
          </w:p>
        </w:tc>
      </w:tr>
      <w:tr w:rsidR="00273FF0" w14:paraId="071BCB57" w14:textId="77777777">
        <w:trPr>
          <w:trHeight w:val="446"/>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3178ECA9" w14:textId="77777777" w:rsidR="00273FF0" w:rsidRDefault="00000000">
            <w:pPr>
              <w:spacing w:after="0"/>
              <w:ind w:left="0" w:right="0" w:firstLine="0"/>
            </w:pPr>
            <w:r>
              <w:t>Section D: Records and documents held</w:t>
            </w:r>
            <w:r>
              <w:rPr>
                <w:b w:val="0"/>
              </w:rPr>
              <w:t xml:space="preserve"> </w:t>
            </w:r>
            <w:r>
              <w:t>[s. 5(1)(d) PATI Act]</w:t>
            </w:r>
            <w:r>
              <w:rPr>
                <w:b w:val="0"/>
              </w:rPr>
              <w:t xml:space="preserve"> </w:t>
            </w:r>
          </w:p>
        </w:tc>
      </w:tr>
      <w:tr w:rsidR="00273FF0" w14:paraId="1EED1867" w14:textId="77777777">
        <w:trPr>
          <w:trHeight w:val="9035"/>
        </w:trPr>
        <w:tc>
          <w:tcPr>
            <w:tcW w:w="10252" w:type="dxa"/>
            <w:tcBorders>
              <w:top w:val="single" w:sz="4" w:space="0" w:color="000000"/>
              <w:left w:val="single" w:sz="4" w:space="0" w:color="000000"/>
              <w:bottom w:val="single" w:sz="4" w:space="0" w:color="000000"/>
              <w:right w:val="single" w:sz="4" w:space="0" w:color="000000"/>
            </w:tcBorders>
            <w:vAlign w:val="center"/>
          </w:tcPr>
          <w:p w14:paraId="50548812" w14:textId="77777777" w:rsidR="00273FF0" w:rsidRDefault="00000000">
            <w:pPr>
              <w:spacing w:after="125"/>
              <w:ind w:left="0" w:right="0" w:firstLine="0"/>
            </w:pPr>
            <w:r>
              <w:rPr>
                <w:b w:val="0"/>
              </w:rPr>
              <w:t xml:space="preserve">The files that are presently held by the Commission fall within the following classes: </w:t>
            </w:r>
          </w:p>
          <w:p w14:paraId="55F4EE9C" w14:textId="77777777" w:rsidR="00273FF0" w:rsidRDefault="00000000">
            <w:pPr>
              <w:numPr>
                <w:ilvl w:val="0"/>
                <w:numId w:val="11"/>
              </w:numPr>
              <w:spacing w:after="99"/>
              <w:ind w:right="0" w:hanging="360"/>
            </w:pPr>
            <w:r>
              <w:rPr>
                <w:b w:val="0"/>
              </w:rPr>
              <w:t xml:space="preserve">Laws/Regulations </w:t>
            </w:r>
          </w:p>
          <w:p w14:paraId="3072A8DF" w14:textId="77777777" w:rsidR="00273FF0" w:rsidRDefault="00000000">
            <w:pPr>
              <w:numPr>
                <w:ilvl w:val="0"/>
                <w:numId w:val="11"/>
              </w:numPr>
              <w:spacing w:after="99"/>
              <w:ind w:right="0" w:hanging="360"/>
            </w:pPr>
            <w:r>
              <w:rPr>
                <w:b w:val="0"/>
              </w:rPr>
              <w:t xml:space="preserve">Application/approval/request for information forms related to casino </w:t>
            </w:r>
            <w:proofErr w:type="spellStart"/>
            <w:proofErr w:type="gramStart"/>
            <w:r>
              <w:rPr>
                <w:b w:val="0"/>
              </w:rPr>
              <w:t>licences</w:t>
            </w:r>
            <w:proofErr w:type="spellEnd"/>
            <w:r>
              <w:rPr>
                <w:b w:val="0"/>
              </w:rPr>
              <w:t>;</w:t>
            </w:r>
            <w:proofErr w:type="gramEnd"/>
            <w:r>
              <w:rPr>
                <w:b w:val="0"/>
              </w:rPr>
              <w:t xml:space="preserve"> </w:t>
            </w:r>
          </w:p>
          <w:p w14:paraId="39C53074" w14:textId="77777777" w:rsidR="00273FF0" w:rsidRDefault="00000000">
            <w:pPr>
              <w:numPr>
                <w:ilvl w:val="0"/>
                <w:numId w:val="11"/>
              </w:numPr>
              <w:spacing w:after="147" w:line="239" w:lineRule="auto"/>
              <w:ind w:right="0" w:hanging="360"/>
            </w:pPr>
            <w:proofErr w:type="spellStart"/>
            <w:r>
              <w:rPr>
                <w:b w:val="0"/>
              </w:rPr>
              <w:t>Licences</w:t>
            </w:r>
            <w:proofErr w:type="spellEnd"/>
            <w:r>
              <w:rPr>
                <w:b w:val="0"/>
              </w:rPr>
              <w:t xml:space="preserve">, approvals, orders, notices, technical standards, information bulletins related to casino </w:t>
            </w:r>
            <w:proofErr w:type="spellStart"/>
            <w:r>
              <w:rPr>
                <w:b w:val="0"/>
              </w:rPr>
              <w:t>licences</w:t>
            </w:r>
            <w:proofErr w:type="spellEnd"/>
            <w:r>
              <w:rPr>
                <w:b w:val="0"/>
              </w:rPr>
              <w:t xml:space="preserve"> and gaming vendors </w:t>
            </w:r>
          </w:p>
          <w:p w14:paraId="5CE0A9E1" w14:textId="77777777" w:rsidR="00273FF0" w:rsidRDefault="00000000">
            <w:pPr>
              <w:numPr>
                <w:ilvl w:val="0"/>
                <w:numId w:val="11"/>
              </w:numPr>
              <w:spacing w:after="98"/>
              <w:ind w:right="0" w:hanging="360"/>
            </w:pPr>
            <w:r>
              <w:rPr>
                <w:b w:val="0"/>
              </w:rPr>
              <w:t xml:space="preserve">Mission Statement </w:t>
            </w:r>
          </w:p>
          <w:p w14:paraId="31E2117A" w14:textId="77777777" w:rsidR="00273FF0" w:rsidRDefault="00000000">
            <w:pPr>
              <w:numPr>
                <w:ilvl w:val="0"/>
                <w:numId w:val="11"/>
              </w:numPr>
              <w:spacing w:after="100"/>
              <w:ind w:right="0" w:hanging="360"/>
            </w:pPr>
            <w:r>
              <w:rPr>
                <w:b w:val="0"/>
              </w:rPr>
              <w:t xml:space="preserve">Vision Statement </w:t>
            </w:r>
          </w:p>
          <w:p w14:paraId="48C54F02" w14:textId="77777777" w:rsidR="00273FF0" w:rsidRDefault="00000000">
            <w:pPr>
              <w:numPr>
                <w:ilvl w:val="0"/>
                <w:numId w:val="11"/>
              </w:numPr>
              <w:spacing w:after="100"/>
              <w:ind w:right="0" w:hanging="360"/>
            </w:pPr>
            <w:r>
              <w:rPr>
                <w:b w:val="0"/>
              </w:rPr>
              <w:t xml:space="preserve">Policy Documents </w:t>
            </w:r>
          </w:p>
          <w:p w14:paraId="5474E9D3" w14:textId="77777777" w:rsidR="00273FF0" w:rsidRDefault="00000000">
            <w:pPr>
              <w:numPr>
                <w:ilvl w:val="0"/>
                <w:numId w:val="11"/>
              </w:numPr>
              <w:spacing w:after="101"/>
              <w:ind w:right="0" w:hanging="360"/>
            </w:pPr>
            <w:r>
              <w:rPr>
                <w:b w:val="0"/>
              </w:rPr>
              <w:t xml:space="preserve">Work Plans </w:t>
            </w:r>
          </w:p>
          <w:p w14:paraId="243B2549" w14:textId="77777777" w:rsidR="00273FF0" w:rsidRDefault="00000000">
            <w:pPr>
              <w:numPr>
                <w:ilvl w:val="0"/>
                <w:numId w:val="11"/>
              </w:numPr>
              <w:spacing w:after="98"/>
              <w:ind w:right="0" w:hanging="360"/>
            </w:pPr>
            <w:r>
              <w:rPr>
                <w:b w:val="0"/>
              </w:rPr>
              <w:t xml:space="preserve">Business Plans </w:t>
            </w:r>
          </w:p>
          <w:p w14:paraId="0C122F00" w14:textId="77777777" w:rsidR="00273FF0" w:rsidRDefault="00000000">
            <w:pPr>
              <w:numPr>
                <w:ilvl w:val="0"/>
                <w:numId w:val="11"/>
              </w:numPr>
              <w:spacing w:after="100"/>
              <w:ind w:right="0" w:hanging="360"/>
            </w:pPr>
            <w:r>
              <w:rPr>
                <w:b w:val="0"/>
              </w:rPr>
              <w:t xml:space="preserve">Workflow documents </w:t>
            </w:r>
          </w:p>
          <w:p w14:paraId="30A1BF6F" w14:textId="77777777" w:rsidR="00273FF0" w:rsidRDefault="00000000">
            <w:pPr>
              <w:numPr>
                <w:ilvl w:val="0"/>
                <w:numId w:val="11"/>
              </w:numPr>
              <w:spacing w:after="99"/>
              <w:ind w:right="0" w:hanging="360"/>
            </w:pPr>
            <w:r>
              <w:rPr>
                <w:b w:val="0"/>
              </w:rPr>
              <w:t xml:space="preserve">Human Resource </w:t>
            </w:r>
            <w:proofErr w:type="gramStart"/>
            <w:r>
              <w:rPr>
                <w:b w:val="0"/>
              </w:rPr>
              <w:t>Documents;</w:t>
            </w:r>
            <w:proofErr w:type="gramEnd"/>
            <w:r>
              <w:rPr>
                <w:b w:val="0"/>
              </w:rPr>
              <w:t xml:space="preserve"> </w:t>
            </w:r>
          </w:p>
          <w:p w14:paraId="4839D426" w14:textId="77777777" w:rsidR="00273FF0" w:rsidRDefault="00000000">
            <w:pPr>
              <w:numPr>
                <w:ilvl w:val="0"/>
                <w:numId w:val="11"/>
              </w:numPr>
              <w:spacing w:after="100"/>
              <w:ind w:right="0" w:hanging="360"/>
            </w:pPr>
            <w:r>
              <w:rPr>
                <w:b w:val="0"/>
              </w:rPr>
              <w:t xml:space="preserve">Procedural Documents </w:t>
            </w:r>
          </w:p>
          <w:p w14:paraId="6D8C92F0" w14:textId="77777777" w:rsidR="00273FF0" w:rsidRDefault="00000000">
            <w:pPr>
              <w:numPr>
                <w:ilvl w:val="0"/>
                <w:numId w:val="11"/>
              </w:numPr>
              <w:spacing w:after="101"/>
              <w:ind w:right="0" w:hanging="360"/>
            </w:pPr>
            <w:r>
              <w:rPr>
                <w:b w:val="0"/>
              </w:rPr>
              <w:t xml:space="preserve">Contracts </w:t>
            </w:r>
          </w:p>
          <w:p w14:paraId="44EDF8EC" w14:textId="77777777" w:rsidR="00273FF0" w:rsidRDefault="00000000">
            <w:pPr>
              <w:numPr>
                <w:ilvl w:val="0"/>
                <w:numId w:val="11"/>
              </w:numPr>
              <w:spacing w:after="98"/>
              <w:ind w:right="0" w:hanging="360"/>
            </w:pPr>
            <w:r>
              <w:rPr>
                <w:b w:val="0"/>
              </w:rPr>
              <w:t xml:space="preserve">Financial </w:t>
            </w:r>
            <w:proofErr w:type="gramStart"/>
            <w:r>
              <w:rPr>
                <w:b w:val="0"/>
              </w:rPr>
              <w:t>Records;</w:t>
            </w:r>
            <w:proofErr w:type="gramEnd"/>
            <w:r>
              <w:rPr>
                <w:b w:val="0"/>
              </w:rPr>
              <w:t xml:space="preserve"> </w:t>
            </w:r>
          </w:p>
          <w:p w14:paraId="787359C3" w14:textId="77777777" w:rsidR="00273FF0" w:rsidRDefault="00000000">
            <w:pPr>
              <w:numPr>
                <w:ilvl w:val="0"/>
                <w:numId w:val="11"/>
              </w:numPr>
              <w:spacing w:after="100"/>
              <w:ind w:right="0" w:hanging="360"/>
            </w:pPr>
            <w:r>
              <w:rPr>
                <w:b w:val="0"/>
              </w:rPr>
              <w:t xml:space="preserve">Travel </w:t>
            </w:r>
            <w:proofErr w:type="gramStart"/>
            <w:r>
              <w:rPr>
                <w:b w:val="0"/>
              </w:rPr>
              <w:t>Records;</w:t>
            </w:r>
            <w:proofErr w:type="gramEnd"/>
            <w:r>
              <w:rPr>
                <w:b w:val="0"/>
              </w:rPr>
              <w:t xml:space="preserve"> </w:t>
            </w:r>
          </w:p>
          <w:p w14:paraId="7C477A7C" w14:textId="77777777" w:rsidR="00273FF0" w:rsidRDefault="00000000">
            <w:pPr>
              <w:numPr>
                <w:ilvl w:val="0"/>
                <w:numId w:val="11"/>
              </w:numPr>
              <w:spacing w:after="100"/>
              <w:ind w:right="0" w:hanging="360"/>
            </w:pPr>
            <w:r>
              <w:rPr>
                <w:b w:val="0"/>
              </w:rPr>
              <w:t xml:space="preserve">Meeting </w:t>
            </w:r>
            <w:proofErr w:type="gramStart"/>
            <w:r>
              <w:rPr>
                <w:b w:val="0"/>
              </w:rPr>
              <w:t>Minutes;</w:t>
            </w:r>
            <w:proofErr w:type="gramEnd"/>
            <w:r>
              <w:rPr>
                <w:b w:val="0"/>
              </w:rPr>
              <w:t xml:space="preserve"> </w:t>
            </w:r>
          </w:p>
          <w:p w14:paraId="5D32CF92" w14:textId="77777777" w:rsidR="00273FF0" w:rsidRDefault="00000000">
            <w:pPr>
              <w:numPr>
                <w:ilvl w:val="0"/>
                <w:numId w:val="11"/>
              </w:numPr>
              <w:spacing w:after="100"/>
              <w:ind w:right="0" w:hanging="360"/>
            </w:pPr>
            <w:r>
              <w:rPr>
                <w:b w:val="0"/>
              </w:rPr>
              <w:t xml:space="preserve">Annual Reports </w:t>
            </w:r>
          </w:p>
          <w:p w14:paraId="0151FCDE" w14:textId="77777777" w:rsidR="00273FF0" w:rsidRDefault="00000000">
            <w:pPr>
              <w:numPr>
                <w:ilvl w:val="0"/>
                <w:numId w:val="11"/>
              </w:numPr>
              <w:spacing w:after="97"/>
              <w:ind w:right="0" w:hanging="360"/>
            </w:pPr>
            <w:r>
              <w:rPr>
                <w:b w:val="0"/>
              </w:rPr>
              <w:t xml:space="preserve">NAMLC reports </w:t>
            </w:r>
          </w:p>
          <w:p w14:paraId="415E888C" w14:textId="77777777" w:rsidR="00273FF0" w:rsidRDefault="00000000">
            <w:pPr>
              <w:numPr>
                <w:ilvl w:val="0"/>
                <w:numId w:val="11"/>
              </w:numPr>
              <w:spacing w:after="99"/>
              <w:ind w:right="0" w:hanging="360"/>
            </w:pPr>
            <w:r>
              <w:rPr>
                <w:b w:val="0"/>
              </w:rPr>
              <w:t xml:space="preserve">PATI Information Request </w:t>
            </w:r>
            <w:proofErr w:type="gramStart"/>
            <w:r>
              <w:rPr>
                <w:b w:val="0"/>
              </w:rPr>
              <w:t>Log;</w:t>
            </w:r>
            <w:proofErr w:type="gramEnd"/>
            <w:r>
              <w:rPr>
                <w:b w:val="0"/>
              </w:rPr>
              <w:t xml:space="preserve"> </w:t>
            </w:r>
          </w:p>
          <w:p w14:paraId="62A929AA" w14:textId="77777777" w:rsidR="00273FF0" w:rsidRDefault="00000000">
            <w:pPr>
              <w:numPr>
                <w:ilvl w:val="0"/>
                <w:numId w:val="11"/>
              </w:numPr>
              <w:spacing w:after="219"/>
              <w:ind w:right="0" w:hanging="360"/>
            </w:pPr>
            <w:r>
              <w:rPr>
                <w:b w:val="0"/>
              </w:rPr>
              <w:t xml:space="preserve">Communication &amp; Correspondence </w:t>
            </w:r>
          </w:p>
          <w:p w14:paraId="0EB05D04" w14:textId="77777777" w:rsidR="00273FF0" w:rsidRDefault="00000000">
            <w:pPr>
              <w:numPr>
                <w:ilvl w:val="0"/>
                <w:numId w:val="11"/>
              </w:numPr>
              <w:spacing w:after="0"/>
              <w:ind w:right="0" w:hanging="360"/>
            </w:pPr>
            <w:r>
              <w:rPr>
                <w:b w:val="0"/>
              </w:rPr>
              <w:t xml:space="preserve">Confidential Information </w:t>
            </w:r>
          </w:p>
        </w:tc>
      </w:tr>
    </w:tbl>
    <w:p w14:paraId="08CDF8DE" w14:textId="77777777" w:rsidR="00273FF0" w:rsidRDefault="00273FF0">
      <w:pPr>
        <w:spacing w:after="0"/>
        <w:ind w:left="-1440" w:right="10800" w:firstLine="0"/>
      </w:pPr>
    </w:p>
    <w:tbl>
      <w:tblPr>
        <w:tblStyle w:val="TableGrid"/>
        <w:tblW w:w="10252" w:type="dxa"/>
        <w:tblInd w:w="-540" w:type="dxa"/>
        <w:tblCellMar>
          <w:top w:w="47" w:type="dxa"/>
          <w:left w:w="108" w:type="dxa"/>
          <w:bottom w:w="0" w:type="dxa"/>
          <w:right w:w="54" w:type="dxa"/>
        </w:tblCellMar>
        <w:tblLook w:val="04A0" w:firstRow="1" w:lastRow="0" w:firstColumn="1" w:lastColumn="0" w:noHBand="0" w:noVBand="1"/>
      </w:tblPr>
      <w:tblGrid>
        <w:gridCol w:w="10252"/>
      </w:tblGrid>
      <w:tr w:rsidR="00273FF0" w14:paraId="51F0EFF0" w14:textId="77777777">
        <w:trPr>
          <w:trHeight w:val="538"/>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60D12122" w14:textId="77777777" w:rsidR="00273FF0" w:rsidRDefault="00000000">
            <w:pPr>
              <w:spacing w:after="0"/>
              <w:ind w:left="0" w:right="0" w:firstLine="0"/>
            </w:pPr>
            <w:r>
              <w:t>Section E: Administration manuals</w:t>
            </w:r>
            <w:r>
              <w:rPr>
                <w:b w:val="0"/>
              </w:rPr>
              <w:t xml:space="preserve"> </w:t>
            </w:r>
            <w:r>
              <w:t>[s. 5(1)(e)]</w:t>
            </w:r>
            <w:r>
              <w:rPr>
                <w:b w:val="0"/>
              </w:rPr>
              <w:t xml:space="preserve"> </w:t>
            </w:r>
          </w:p>
        </w:tc>
      </w:tr>
      <w:tr w:rsidR="00273FF0" w14:paraId="4B0C8FB8" w14:textId="77777777">
        <w:trPr>
          <w:trHeight w:val="2561"/>
        </w:trPr>
        <w:tc>
          <w:tcPr>
            <w:tcW w:w="10252" w:type="dxa"/>
            <w:tcBorders>
              <w:top w:val="single" w:sz="4" w:space="0" w:color="000000"/>
              <w:left w:val="single" w:sz="4" w:space="0" w:color="000000"/>
              <w:bottom w:val="single" w:sz="4" w:space="0" w:color="000000"/>
              <w:right w:val="single" w:sz="4" w:space="0" w:color="000000"/>
            </w:tcBorders>
            <w:vAlign w:val="center"/>
          </w:tcPr>
          <w:p w14:paraId="2331BB2E" w14:textId="77777777" w:rsidR="00273FF0" w:rsidRDefault="00000000">
            <w:pPr>
              <w:numPr>
                <w:ilvl w:val="0"/>
                <w:numId w:val="12"/>
              </w:numPr>
              <w:spacing w:after="0"/>
              <w:ind w:right="0" w:hanging="360"/>
            </w:pPr>
            <w:r>
              <w:rPr>
                <w:b w:val="0"/>
              </w:rPr>
              <w:lastRenderedPageBreak/>
              <w:t xml:space="preserve">Team Member Handbook </w:t>
            </w:r>
          </w:p>
          <w:p w14:paraId="45E6AA41" w14:textId="77777777" w:rsidR="00273FF0" w:rsidRDefault="00000000">
            <w:pPr>
              <w:numPr>
                <w:ilvl w:val="0"/>
                <w:numId w:val="12"/>
              </w:numPr>
              <w:spacing w:after="0"/>
              <w:ind w:right="0" w:hanging="360"/>
            </w:pPr>
            <w:r>
              <w:rPr>
                <w:b w:val="0"/>
              </w:rPr>
              <w:t xml:space="preserve">Financial operations (payroll, controls, and procurement) policies and procedures </w:t>
            </w:r>
          </w:p>
          <w:p w14:paraId="3D1E5196" w14:textId="77777777" w:rsidR="00273FF0" w:rsidRDefault="00000000">
            <w:pPr>
              <w:numPr>
                <w:ilvl w:val="0"/>
                <w:numId w:val="12"/>
              </w:numPr>
              <w:spacing w:after="0"/>
              <w:ind w:right="0" w:hanging="360"/>
            </w:pPr>
            <w:r>
              <w:rPr>
                <w:b w:val="0"/>
              </w:rPr>
              <w:t xml:space="preserve">Travel and subsistence policy </w:t>
            </w:r>
          </w:p>
          <w:p w14:paraId="4F2CB664" w14:textId="77777777" w:rsidR="00273FF0" w:rsidRDefault="00000000">
            <w:pPr>
              <w:numPr>
                <w:ilvl w:val="0"/>
                <w:numId w:val="12"/>
              </w:numPr>
              <w:spacing w:after="0"/>
              <w:ind w:right="0" w:hanging="360"/>
            </w:pPr>
            <w:r>
              <w:rPr>
                <w:b w:val="0"/>
              </w:rPr>
              <w:t xml:space="preserve">Data management procedures </w:t>
            </w:r>
          </w:p>
          <w:p w14:paraId="015DFE70" w14:textId="77777777" w:rsidR="00273FF0" w:rsidRDefault="00000000">
            <w:pPr>
              <w:numPr>
                <w:ilvl w:val="0"/>
                <w:numId w:val="12"/>
              </w:numPr>
              <w:spacing w:after="0"/>
              <w:ind w:right="0" w:hanging="360"/>
            </w:pPr>
            <w:r>
              <w:rPr>
                <w:b w:val="0"/>
              </w:rPr>
              <w:t xml:space="preserve">Health and safety procedures </w:t>
            </w:r>
          </w:p>
          <w:p w14:paraId="0DF6B594" w14:textId="77777777" w:rsidR="00273FF0" w:rsidRDefault="00000000">
            <w:pPr>
              <w:numPr>
                <w:ilvl w:val="0"/>
                <w:numId w:val="12"/>
              </w:numPr>
              <w:spacing w:after="190"/>
              <w:ind w:right="0" w:hanging="360"/>
            </w:pPr>
            <w:r>
              <w:rPr>
                <w:b w:val="0"/>
              </w:rPr>
              <w:t xml:space="preserve">Covid procedures </w:t>
            </w:r>
          </w:p>
          <w:p w14:paraId="4CA0ACA8" w14:textId="77777777" w:rsidR="00273FF0" w:rsidRDefault="00000000">
            <w:pPr>
              <w:spacing w:after="0"/>
              <w:ind w:left="0" w:right="0" w:firstLine="0"/>
            </w:pPr>
            <w:r>
              <w:rPr>
                <w:b w:val="0"/>
              </w:rPr>
              <w:t xml:space="preserve"> </w:t>
            </w:r>
          </w:p>
        </w:tc>
      </w:tr>
      <w:tr w:rsidR="00273FF0" w14:paraId="5ED45125" w14:textId="77777777">
        <w:trPr>
          <w:trHeight w:val="449"/>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3BF2708B" w14:textId="77777777" w:rsidR="00273FF0" w:rsidRDefault="00000000">
            <w:pPr>
              <w:spacing w:after="0"/>
              <w:ind w:left="0" w:right="0" w:firstLine="0"/>
            </w:pPr>
            <w:r>
              <w:t>Section F: Decision-making documents</w:t>
            </w:r>
            <w:r>
              <w:rPr>
                <w:b w:val="0"/>
              </w:rPr>
              <w:t xml:space="preserve"> </w:t>
            </w:r>
            <w:r>
              <w:t>[s5(1)(f) PATI Act]</w:t>
            </w:r>
            <w:r>
              <w:rPr>
                <w:b w:val="0"/>
              </w:rPr>
              <w:t xml:space="preserve"> </w:t>
            </w:r>
          </w:p>
        </w:tc>
      </w:tr>
      <w:tr w:rsidR="00273FF0" w14:paraId="74D5DBF6" w14:textId="77777777">
        <w:trPr>
          <w:trHeight w:val="1429"/>
        </w:trPr>
        <w:tc>
          <w:tcPr>
            <w:tcW w:w="10252" w:type="dxa"/>
            <w:tcBorders>
              <w:top w:val="single" w:sz="4" w:space="0" w:color="000000"/>
              <w:left w:val="single" w:sz="4" w:space="0" w:color="000000"/>
              <w:bottom w:val="single" w:sz="4" w:space="0" w:color="000000"/>
              <w:right w:val="single" w:sz="4" w:space="0" w:color="000000"/>
            </w:tcBorders>
            <w:vAlign w:val="center"/>
          </w:tcPr>
          <w:p w14:paraId="1239F1AE" w14:textId="77777777" w:rsidR="00273FF0" w:rsidRDefault="00000000">
            <w:pPr>
              <w:spacing w:after="125"/>
              <w:ind w:left="0" w:right="0" w:firstLine="0"/>
            </w:pPr>
            <w:r>
              <w:rPr>
                <w:b w:val="0"/>
              </w:rPr>
              <w:t xml:space="preserve"> </w:t>
            </w:r>
          </w:p>
          <w:p w14:paraId="53F94FA4" w14:textId="77777777" w:rsidR="00273FF0" w:rsidRDefault="00000000">
            <w:pPr>
              <w:tabs>
                <w:tab w:val="center" w:pos="411"/>
                <w:tab w:val="center" w:pos="1682"/>
              </w:tabs>
              <w:spacing w:after="192"/>
              <w:ind w:left="0" w:right="0" w:firstLine="0"/>
            </w:pPr>
            <w:r>
              <w:rPr>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rPr>
                <w:b w:val="0"/>
              </w:rPr>
              <w:t xml:space="preserve">Laws and Regulations </w:t>
            </w:r>
          </w:p>
          <w:p w14:paraId="1E711F98" w14:textId="77777777" w:rsidR="00273FF0" w:rsidRDefault="00000000">
            <w:pPr>
              <w:spacing w:after="0"/>
              <w:ind w:left="1080" w:right="0" w:firstLine="0"/>
            </w:pPr>
            <w:r>
              <w:rPr>
                <w:b w:val="0"/>
              </w:rPr>
              <w:t xml:space="preserve"> </w:t>
            </w:r>
          </w:p>
        </w:tc>
      </w:tr>
      <w:tr w:rsidR="00273FF0" w14:paraId="67A0039B" w14:textId="77777777">
        <w:trPr>
          <w:trHeight w:val="448"/>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4B647317" w14:textId="77777777" w:rsidR="00273FF0" w:rsidRDefault="00000000">
            <w:pPr>
              <w:spacing w:after="0"/>
              <w:ind w:left="0" w:right="0" w:firstLine="0"/>
            </w:pPr>
            <w:r>
              <w:t>Section G: The PATI Information officer</w:t>
            </w:r>
            <w:r>
              <w:rPr>
                <w:b w:val="0"/>
              </w:rPr>
              <w:t xml:space="preserve"> </w:t>
            </w:r>
            <w:r>
              <w:t>[s. 5(1)(g) PATI Act]</w:t>
            </w:r>
            <w:r>
              <w:rPr>
                <w:b w:val="0"/>
              </w:rPr>
              <w:t xml:space="preserve"> </w:t>
            </w:r>
          </w:p>
        </w:tc>
      </w:tr>
      <w:tr w:rsidR="00273FF0" w14:paraId="4FACBA50" w14:textId="77777777">
        <w:trPr>
          <w:trHeight w:val="3240"/>
        </w:trPr>
        <w:tc>
          <w:tcPr>
            <w:tcW w:w="10252" w:type="dxa"/>
            <w:tcBorders>
              <w:top w:val="single" w:sz="4" w:space="0" w:color="000000"/>
              <w:left w:val="single" w:sz="4" w:space="0" w:color="000000"/>
              <w:bottom w:val="single" w:sz="4" w:space="0" w:color="000000"/>
              <w:right w:val="single" w:sz="4" w:space="0" w:color="000000"/>
            </w:tcBorders>
            <w:vAlign w:val="center"/>
          </w:tcPr>
          <w:p w14:paraId="00B751BD" w14:textId="77777777" w:rsidR="00273FF0" w:rsidRDefault="00000000">
            <w:pPr>
              <w:spacing w:after="98"/>
              <w:ind w:left="0" w:right="0" w:firstLine="0"/>
            </w:pPr>
            <w:r>
              <w:rPr>
                <w:b w:val="0"/>
              </w:rPr>
              <w:t xml:space="preserve">The PATI Information Officer for the Bermuda Gaming Commission is: </w:t>
            </w:r>
          </w:p>
          <w:p w14:paraId="13C77FE0" w14:textId="77777777" w:rsidR="00273FF0" w:rsidRDefault="00000000">
            <w:pPr>
              <w:spacing w:after="98"/>
              <w:ind w:left="1440" w:right="0" w:firstLine="0"/>
            </w:pPr>
            <w:r>
              <w:rPr>
                <w:b w:val="0"/>
              </w:rPr>
              <w:t xml:space="preserve">Mr. Nathan Lawrence </w:t>
            </w:r>
          </w:p>
          <w:p w14:paraId="67818166" w14:textId="77777777" w:rsidR="00273FF0" w:rsidRDefault="00000000">
            <w:pPr>
              <w:spacing w:after="0" w:line="346" w:lineRule="auto"/>
              <w:ind w:left="1440" w:right="2314" w:firstLine="0"/>
            </w:pPr>
            <w:r>
              <w:rPr>
                <w:b w:val="0"/>
              </w:rPr>
              <w:t xml:space="preserve">Policy Manager and Director of Problem and Responsible Gaming Suite 102 St. James Court </w:t>
            </w:r>
          </w:p>
          <w:p w14:paraId="6E4E2744" w14:textId="77777777" w:rsidR="00273FF0" w:rsidRDefault="00000000">
            <w:pPr>
              <w:spacing w:after="0" w:line="346" w:lineRule="auto"/>
              <w:ind w:left="1440" w:right="6132" w:firstLine="0"/>
            </w:pPr>
            <w:r>
              <w:rPr>
                <w:b w:val="0"/>
              </w:rPr>
              <w:t xml:space="preserve">#1 North Shore </w:t>
            </w:r>
            <w:proofErr w:type="gramStart"/>
            <w:r>
              <w:rPr>
                <w:b w:val="0"/>
              </w:rPr>
              <w:t>Road,  Flatts</w:t>
            </w:r>
            <w:proofErr w:type="gramEnd"/>
            <w:r>
              <w:rPr>
                <w:b w:val="0"/>
              </w:rPr>
              <w:t xml:space="preserve"> FL04 </w:t>
            </w:r>
          </w:p>
          <w:p w14:paraId="474551F1" w14:textId="77777777" w:rsidR="00273FF0" w:rsidRDefault="00000000">
            <w:pPr>
              <w:spacing w:after="95"/>
              <w:ind w:left="720" w:right="0" w:firstLine="0"/>
            </w:pPr>
            <w:r>
              <w:rPr>
                <w:b w:val="0"/>
              </w:rPr>
              <w:t xml:space="preserve">Tel:     400 - 2100 </w:t>
            </w:r>
          </w:p>
          <w:p w14:paraId="4965564E" w14:textId="77777777" w:rsidR="00273FF0" w:rsidRDefault="00000000">
            <w:pPr>
              <w:spacing w:after="0"/>
              <w:ind w:left="720" w:right="0" w:firstLine="0"/>
            </w:pPr>
            <w:r>
              <w:rPr>
                <w:b w:val="0"/>
              </w:rPr>
              <w:t xml:space="preserve">Email: nlawrence@bgc.bm  </w:t>
            </w:r>
          </w:p>
        </w:tc>
      </w:tr>
      <w:tr w:rsidR="00273FF0" w14:paraId="7DF76B6E" w14:textId="77777777">
        <w:trPr>
          <w:trHeight w:val="449"/>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30746FF2" w14:textId="77777777" w:rsidR="00273FF0" w:rsidRDefault="00000000">
            <w:pPr>
              <w:spacing w:after="0"/>
              <w:ind w:left="0" w:right="0" w:firstLine="0"/>
            </w:pPr>
            <w:r>
              <w:t>Section H: Any Other Information</w:t>
            </w:r>
            <w:r>
              <w:rPr>
                <w:b w:val="0"/>
              </w:rPr>
              <w:t xml:space="preserve"> </w:t>
            </w:r>
            <w:r>
              <w:t>[s. 5(1)(h) &amp;(</w:t>
            </w:r>
            <w:proofErr w:type="spellStart"/>
            <w:r>
              <w:t>i</w:t>
            </w:r>
            <w:proofErr w:type="spellEnd"/>
            <w:r>
              <w:t>) PATI Act]</w:t>
            </w:r>
            <w:r>
              <w:rPr>
                <w:b w:val="0"/>
              </w:rPr>
              <w:t xml:space="preserve"> </w:t>
            </w:r>
          </w:p>
        </w:tc>
      </w:tr>
      <w:tr w:rsidR="00273FF0" w14:paraId="3AD2333F" w14:textId="77777777">
        <w:trPr>
          <w:trHeight w:val="811"/>
        </w:trPr>
        <w:tc>
          <w:tcPr>
            <w:tcW w:w="10252" w:type="dxa"/>
            <w:tcBorders>
              <w:top w:val="single" w:sz="4" w:space="0" w:color="000000"/>
              <w:left w:val="single" w:sz="4" w:space="0" w:color="000000"/>
              <w:bottom w:val="single" w:sz="4" w:space="0" w:color="000000"/>
              <w:right w:val="single" w:sz="4" w:space="0" w:color="000000"/>
            </w:tcBorders>
          </w:tcPr>
          <w:p w14:paraId="17E156F8" w14:textId="77777777" w:rsidR="00273FF0" w:rsidRDefault="00000000">
            <w:pPr>
              <w:spacing w:after="0"/>
              <w:ind w:left="0" w:right="0" w:firstLine="0"/>
            </w:pPr>
            <w:r>
              <w:rPr>
                <w:b w:val="0"/>
              </w:rPr>
              <w:t xml:space="preserve">As information becomes available it will be posted on the website at:  </w:t>
            </w:r>
            <w:hyperlink r:id="rId9">
              <w:r>
                <w:rPr>
                  <w:b w:val="0"/>
                  <w:color w:val="0563C1"/>
                  <w:u w:val="single" w:color="0563C1"/>
                </w:rPr>
                <w:t>https://www.bgc.bm</w:t>
              </w:r>
            </w:hyperlink>
            <w:hyperlink r:id="rId10">
              <w:r>
                <w:rPr>
                  <w:b w:val="0"/>
                </w:rPr>
                <w:t xml:space="preserve"> </w:t>
              </w:r>
            </w:hyperlink>
            <w:r>
              <w:rPr>
                <w:b w:val="0"/>
              </w:rPr>
              <w:t xml:space="preserve"> </w:t>
            </w:r>
          </w:p>
        </w:tc>
      </w:tr>
      <w:tr w:rsidR="00273FF0" w14:paraId="2DFFB1F5" w14:textId="77777777">
        <w:trPr>
          <w:trHeight w:val="449"/>
        </w:trPr>
        <w:tc>
          <w:tcPr>
            <w:tcW w:w="10252" w:type="dxa"/>
            <w:tcBorders>
              <w:top w:val="single" w:sz="4" w:space="0" w:color="000000"/>
              <w:left w:val="single" w:sz="4" w:space="0" w:color="000000"/>
              <w:bottom w:val="single" w:sz="4" w:space="0" w:color="000000"/>
              <w:right w:val="single" w:sz="4" w:space="0" w:color="000000"/>
            </w:tcBorders>
            <w:shd w:val="clear" w:color="auto" w:fill="05D1ED"/>
          </w:tcPr>
          <w:p w14:paraId="2D04D8D8" w14:textId="77777777" w:rsidR="00273FF0" w:rsidRDefault="00000000">
            <w:pPr>
              <w:spacing w:after="0"/>
              <w:ind w:left="0" w:right="0" w:firstLine="0"/>
            </w:pPr>
            <w:r>
              <w:t>Section I: Information Statement: Copies and Updates</w:t>
            </w:r>
            <w:r>
              <w:rPr>
                <w:b w:val="0"/>
              </w:rPr>
              <w:t xml:space="preserve"> </w:t>
            </w:r>
            <w:r>
              <w:t>[ss. 5(2), (3), (4) &amp; (5) PATI Act]</w:t>
            </w:r>
            <w:r>
              <w:rPr>
                <w:b w:val="0"/>
              </w:rPr>
              <w:t xml:space="preserve"> </w:t>
            </w:r>
          </w:p>
        </w:tc>
      </w:tr>
      <w:tr w:rsidR="00273FF0" w14:paraId="39358A50" w14:textId="77777777">
        <w:trPr>
          <w:trHeight w:val="1660"/>
        </w:trPr>
        <w:tc>
          <w:tcPr>
            <w:tcW w:w="10252" w:type="dxa"/>
            <w:tcBorders>
              <w:top w:val="single" w:sz="4" w:space="0" w:color="000000"/>
              <w:left w:val="single" w:sz="4" w:space="0" w:color="000000"/>
              <w:bottom w:val="single" w:sz="4" w:space="0" w:color="000000"/>
              <w:right w:val="single" w:sz="4" w:space="0" w:color="000000"/>
            </w:tcBorders>
            <w:vAlign w:val="bottom"/>
          </w:tcPr>
          <w:p w14:paraId="455AD587" w14:textId="77777777" w:rsidR="00273FF0" w:rsidRDefault="00000000">
            <w:pPr>
              <w:spacing w:after="232"/>
              <w:ind w:left="0" w:right="0" w:firstLine="0"/>
            </w:pPr>
            <w:r>
              <w:rPr>
                <w:b w:val="0"/>
              </w:rPr>
              <w:t xml:space="preserve">Every public authority shall update its information statement at least once a year and may do so more frequently. </w:t>
            </w:r>
          </w:p>
          <w:p w14:paraId="48BE677F" w14:textId="77777777" w:rsidR="00273FF0" w:rsidRDefault="00000000">
            <w:pPr>
              <w:tabs>
                <w:tab w:val="center" w:pos="1940"/>
                <w:tab w:val="center" w:pos="4969"/>
              </w:tabs>
              <w:spacing w:after="112"/>
              <w:ind w:left="0" w:right="0" w:firstLine="0"/>
            </w:pPr>
            <w:r>
              <w:rPr>
                <w:b w:val="0"/>
              </w:rPr>
              <w:tab/>
            </w:r>
            <w:r>
              <w:t>Date Information Statement was updated</w:t>
            </w:r>
            <w:r>
              <w:rPr>
                <w:b w:val="0"/>
              </w:rPr>
              <w:t xml:space="preserve">:  </w:t>
            </w:r>
            <w:r>
              <w:rPr>
                <w:b w:val="0"/>
              </w:rPr>
              <w:tab/>
            </w:r>
            <w:r>
              <w:t>5 August 2025</w:t>
            </w:r>
            <w:r>
              <w:rPr>
                <w:b w:val="0"/>
              </w:rPr>
              <w:t xml:space="preserve"> </w:t>
            </w:r>
          </w:p>
          <w:p w14:paraId="4B95499B" w14:textId="77777777" w:rsidR="00273FF0" w:rsidRDefault="00000000">
            <w:pPr>
              <w:spacing w:after="0"/>
              <w:ind w:left="0" w:right="0" w:firstLine="0"/>
              <w:jc w:val="both"/>
            </w:pPr>
            <w:r>
              <w:rPr>
                <w:b w:val="0"/>
              </w:rPr>
              <w:t xml:space="preserve">A Notice has been published in the Gazette indicating the places where this Information Statement is available for the public which include the following locations:  </w:t>
            </w:r>
          </w:p>
        </w:tc>
      </w:tr>
      <w:tr w:rsidR="00273FF0" w14:paraId="6D6EF424" w14:textId="77777777">
        <w:trPr>
          <w:trHeight w:val="4354"/>
        </w:trPr>
        <w:tc>
          <w:tcPr>
            <w:tcW w:w="10252" w:type="dxa"/>
            <w:tcBorders>
              <w:top w:val="single" w:sz="4" w:space="0" w:color="000000"/>
              <w:left w:val="single" w:sz="4" w:space="0" w:color="000000"/>
              <w:bottom w:val="single" w:sz="4" w:space="0" w:color="000000"/>
              <w:right w:val="single" w:sz="4" w:space="0" w:color="000000"/>
            </w:tcBorders>
          </w:tcPr>
          <w:p w14:paraId="5607F215" w14:textId="77777777" w:rsidR="00273FF0" w:rsidRDefault="00000000">
            <w:pPr>
              <w:numPr>
                <w:ilvl w:val="0"/>
                <w:numId w:val="13"/>
              </w:numPr>
              <w:spacing w:after="17"/>
              <w:ind w:right="0" w:hanging="360"/>
            </w:pPr>
            <w:r>
              <w:rPr>
                <w:b w:val="0"/>
              </w:rPr>
              <w:lastRenderedPageBreak/>
              <w:t xml:space="preserve">Principal office: Suite 102, St. James Court, #1 North Shore Road, Flatts, FL 04 </w:t>
            </w:r>
          </w:p>
          <w:p w14:paraId="09DEF35D" w14:textId="77777777" w:rsidR="00273FF0" w:rsidRDefault="00000000">
            <w:pPr>
              <w:numPr>
                <w:ilvl w:val="0"/>
                <w:numId w:val="13"/>
              </w:numPr>
              <w:spacing w:after="20"/>
              <w:ind w:right="0" w:hanging="360"/>
            </w:pPr>
            <w:r>
              <w:rPr>
                <w:b w:val="0"/>
              </w:rPr>
              <w:t xml:space="preserve">The Bermuda National Library </w:t>
            </w:r>
          </w:p>
          <w:p w14:paraId="492AE132" w14:textId="77777777" w:rsidR="00273FF0" w:rsidRDefault="00000000">
            <w:pPr>
              <w:numPr>
                <w:ilvl w:val="0"/>
                <w:numId w:val="13"/>
              </w:numPr>
              <w:spacing w:after="18"/>
              <w:ind w:right="0" w:hanging="360"/>
            </w:pPr>
            <w:r>
              <w:rPr>
                <w:b w:val="0"/>
              </w:rPr>
              <w:t xml:space="preserve">The Bermuda Archives </w:t>
            </w:r>
          </w:p>
          <w:p w14:paraId="0D0E0DAA" w14:textId="77777777" w:rsidR="00273FF0" w:rsidRDefault="00000000">
            <w:pPr>
              <w:numPr>
                <w:ilvl w:val="0"/>
                <w:numId w:val="13"/>
              </w:numPr>
              <w:spacing w:after="20"/>
              <w:ind w:right="0" w:hanging="360"/>
            </w:pPr>
            <w:r>
              <w:rPr>
                <w:b w:val="0"/>
              </w:rPr>
              <w:t xml:space="preserve">Available electronically by request </w:t>
            </w:r>
          </w:p>
          <w:p w14:paraId="6F2EE5B5" w14:textId="77777777" w:rsidR="00273FF0" w:rsidRDefault="00000000">
            <w:pPr>
              <w:numPr>
                <w:ilvl w:val="0"/>
                <w:numId w:val="13"/>
              </w:numPr>
              <w:spacing w:after="0" w:line="273" w:lineRule="auto"/>
              <w:ind w:right="0" w:hanging="360"/>
            </w:pPr>
            <w:r>
              <w:rPr>
                <w:b w:val="0"/>
              </w:rPr>
              <w:t xml:space="preserve">Website of the Commission:  https://www.https://www.bgc.bm/ </w:t>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rPr>
                <w:b w:val="0"/>
              </w:rPr>
              <w:t xml:space="preserve">With the Information Commissioner </w:t>
            </w:r>
          </w:p>
          <w:p w14:paraId="752F3E5F" w14:textId="77777777" w:rsidR="00273FF0" w:rsidRDefault="00000000">
            <w:pPr>
              <w:spacing w:after="0"/>
              <w:ind w:left="2" w:right="0" w:firstLine="0"/>
            </w:pPr>
            <w:r>
              <w:rPr>
                <w:b w:val="0"/>
              </w:rPr>
              <w:t xml:space="preserve"> </w:t>
            </w:r>
          </w:p>
          <w:p w14:paraId="3078B8D3" w14:textId="77777777" w:rsidR="00273FF0" w:rsidRDefault="00000000">
            <w:pPr>
              <w:spacing w:after="0"/>
              <w:ind w:left="2" w:right="0" w:firstLine="0"/>
            </w:pPr>
            <w:r>
              <w:t xml:space="preserve">Signed:        </w:t>
            </w:r>
          </w:p>
          <w:p w14:paraId="2257494D" w14:textId="77777777" w:rsidR="00273FF0" w:rsidRDefault="00000000">
            <w:pPr>
              <w:spacing w:after="0"/>
              <w:ind w:left="0" w:right="0" w:firstLine="0"/>
            </w:pPr>
            <w:r>
              <w:rPr>
                <w:noProof/>
              </w:rPr>
              <w:drawing>
                <wp:inline distT="0" distB="0" distL="0" distR="0" wp14:anchorId="2A635ADC" wp14:editId="40A164F7">
                  <wp:extent cx="946150" cy="514350"/>
                  <wp:effectExtent l="0" t="0" r="0" b="0"/>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1"/>
                          <a:stretch>
                            <a:fillRect/>
                          </a:stretch>
                        </pic:blipFill>
                        <pic:spPr>
                          <a:xfrm>
                            <a:off x="0" y="0"/>
                            <a:ext cx="946150" cy="514350"/>
                          </a:xfrm>
                          <a:prstGeom prst="rect">
                            <a:avLst/>
                          </a:prstGeom>
                        </pic:spPr>
                      </pic:pic>
                    </a:graphicData>
                  </a:graphic>
                </wp:inline>
              </w:drawing>
            </w:r>
            <w:r>
              <w:rPr>
                <w:b w:val="0"/>
              </w:rPr>
              <w:t xml:space="preserve"> </w:t>
            </w:r>
          </w:p>
          <w:p w14:paraId="09A3CFDD" w14:textId="77777777" w:rsidR="00273FF0" w:rsidRDefault="00000000">
            <w:pPr>
              <w:tabs>
                <w:tab w:val="center" w:pos="4321"/>
                <w:tab w:val="center" w:pos="6021"/>
              </w:tabs>
              <w:spacing w:after="0"/>
              <w:ind w:left="0" w:right="0" w:firstLine="0"/>
            </w:pPr>
            <w:r>
              <w:rPr>
                <w:b w:val="0"/>
              </w:rPr>
              <w:t xml:space="preserve">                                                                       </w:t>
            </w:r>
            <w:r>
              <w:rPr>
                <w:b w:val="0"/>
              </w:rPr>
              <w:tab/>
              <w:t xml:space="preserve"> </w:t>
            </w:r>
            <w:r>
              <w:rPr>
                <w:b w:val="0"/>
              </w:rPr>
              <w:tab/>
            </w:r>
            <w:r>
              <w:t xml:space="preserve">Dated: 5 August 2025 </w:t>
            </w:r>
          </w:p>
          <w:p w14:paraId="6C6A104C" w14:textId="77777777" w:rsidR="00273FF0" w:rsidRDefault="00000000">
            <w:pPr>
              <w:spacing w:after="0" w:line="239" w:lineRule="auto"/>
              <w:ind w:left="2" w:right="5564" w:firstLine="0"/>
              <w:jc w:val="both"/>
            </w:pPr>
            <w:r>
              <w:t xml:space="preserve">Charmaine Smith Chief Executive </w:t>
            </w:r>
          </w:p>
          <w:p w14:paraId="3C002A99" w14:textId="77777777" w:rsidR="00273FF0" w:rsidRDefault="00000000">
            <w:pPr>
              <w:spacing w:after="0"/>
              <w:ind w:left="1" w:right="0" w:firstLine="0"/>
            </w:pPr>
            <w:r>
              <w:t xml:space="preserve">Bermuda Gaming Commission </w:t>
            </w:r>
          </w:p>
        </w:tc>
      </w:tr>
    </w:tbl>
    <w:p w14:paraId="5498EAA2" w14:textId="77777777" w:rsidR="00273FF0" w:rsidRDefault="00000000">
      <w:pPr>
        <w:spacing w:after="0"/>
        <w:ind w:left="0" w:right="0" w:firstLine="0"/>
        <w:jc w:val="both"/>
      </w:pPr>
      <w:r>
        <w:rPr>
          <w:b w:val="0"/>
        </w:rPr>
        <w:t xml:space="preserve"> </w:t>
      </w:r>
    </w:p>
    <w:sectPr w:rsidR="00273FF0">
      <w:footerReference w:type="even" r:id="rId12"/>
      <w:footerReference w:type="default" r:id="rId13"/>
      <w:footerReference w:type="first" r:id="rId14"/>
      <w:pgSz w:w="12240" w:h="15840"/>
      <w:pgMar w:top="246"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BB0C" w14:textId="77777777" w:rsidR="002E7625" w:rsidRDefault="002E7625">
      <w:pPr>
        <w:spacing w:after="0" w:line="240" w:lineRule="auto"/>
      </w:pPr>
      <w:r>
        <w:separator/>
      </w:r>
    </w:p>
  </w:endnote>
  <w:endnote w:type="continuationSeparator" w:id="0">
    <w:p w14:paraId="496617E7" w14:textId="77777777" w:rsidR="002E7625" w:rsidRDefault="002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F32F" w14:textId="77777777" w:rsidR="00273FF0" w:rsidRDefault="00000000">
    <w:pPr>
      <w:spacing w:after="0"/>
      <w:ind w:left="2" w:right="0" w:firstLine="0"/>
      <w:jc w:val="center"/>
    </w:pPr>
    <w:r>
      <w:rPr>
        <w:b w:val="0"/>
        <w:sz w:val="24"/>
      </w:rPr>
      <w:t xml:space="preserve">~ </w:t>
    </w:r>
    <w:r>
      <w:fldChar w:fldCharType="begin"/>
    </w:r>
    <w:r>
      <w:instrText xml:space="preserve"> PAGE   \* MERGEFORMAT </w:instrText>
    </w:r>
    <w:r>
      <w:fldChar w:fldCharType="separate"/>
    </w:r>
    <w:r>
      <w:rPr>
        <w:b w:val="0"/>
        <w:sz w:val="24"/>
      </w:rPr>
      <w:t>2</w:t>
    </w:r>
    <w:r>
      <w:rPr>
        <w:b w:val="0"/>
        <w:sz w:val="24"/>
      </w:rPr>
      <w:fldChar w:fldCharType="end"/>
    </w:r>
    <w:r>
      <w:rPr>
        <w:b w:val="0"/>
        <w:sz w:val="24"/>
      </w:rPr>
      <w:t xml:space="preserve"> ~ </w:t>
    </w:r>
  </w:p>
  <w:p w14:paraId="76882A69" w14:textId="77777777" w:rsidR="00273FF0" w:rsidRDefault="00000000">
    <w:pPr>
      <w:spacing w:after="0"/>
      <w:ind w:left="0" w:right="0" w:firstLine="0"/>
    </w:pPr>
    <w:r>
      <w:rPr>
        <w:rFonts w:ascii="Times New Roman" w:eastAsia="Times New Roman" w:hAnsi="Times New Roman" w:cs="Times New Roman"/>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83F0" w14:textId="77777777" w:rsidR="00273FF0" w:rsidRDefault="00000000">
    <w:pPr>
      <w:spacing w:after="0"/>
      <w:ind w:left="2" w:right="0" w:firstLine="0"/>
      <w:jc w:val="center"/>
    </w:pPr>
    <w:r>
      <w:rPr>
        <w:b w:val="0"/>
        <w:sz w:val="24"/>
      </w:rPr>
      <w:t xml:space="preserve">~ </w:t>
    </w:r>
    <w:r>
      <w:fldChar w:fldCharType="begin"/>
    </w:r>
    <w:r>
      <w:instrText xml:space="preserve"> PAGE   \* MERGEFORMAT </w:instrText>
    </w:r>
    <w:r>
      <w:fldChar w:fldCharType="separate"/>
    </w:r>
    <w:r>
      <w:rPr>
        <w:b w:val="0"/>
        <w:sz w:val="24"/>
      </w:rPr>
      <w:t>2</w:t>
    </w:r>
    <w:r>
      <w:rPr>
        <w:b w:val="0"/>
        <w:sz w:val="24"/>
      </w:rPr>
      <w:fldChar w:fldCharType="end"/>
    </w:r>
    <w:r>
      <w:rPr>
        <w:b w:val="0"/>
        <w:sz w:val="24"/>
      </w:rPr>
      <w:t xml:space="preserve"> ~ </w:t>
    </w:r>
  </w:p>
  <w:p w14:paraId="711262DB" w14:textId="77777777" w:rsidR="00273FF0" w:rsidRDefault="00000000">
    <w:pPr>
      <w:spacing w:after="0"/>
      <w:ind w:left="0" w:right="0" w:firstLine="0"/>
    </w:pPr>
    <w:r>
      <w:rPr>
        <w:rFonts w:ascii="Times New Roman" w:eastAsia="Times New Roman" w:hAnsi="Times New Roman" w:cs="Times New Roman"/>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DAFD" w14:textId="77777777" w:rsidR="00273FF0" w:rsidRDefault="00273FF0">
    <w:pPr>
      <w:spacing w:after="160"/>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2308" w14:textId="77777777" w:rsidR="002E7625" w:rsidRDefault="002E7625">
      <w:pPr>
        <w:spacing w:after="0" w:line="240" w:lineRule="auto"/>
      </w:pPr>
      <w:r>
        <w:separator/>
      </w:r>
    </w:p>
  </w:footnote>
  <w:footnote w:type="continuationSeparator" w:id="0">
    <w:p w14:paraId="71194F4C" w14:textId="77777777" w:rsidR="002E7625" w:rsidRDefault="002E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3AE"/>
    <w:multiLevelType w:val="hybridMultilevel"/>
    <w:tmpl w:val="682E3286"/>
    <w:lvl w:ilvl="0" w:tplc="A55059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224C4">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6AA63A">
      <w:start w:val="1"/>
      <w:numFmt w:val="bullet"/>
      <w:lvlText w:val="▪"/>
      <w:lvlJc w:val="left"/>
      <w:pPr>
        <w:ind w:left="2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8E42A">
      <w:start w:val="1"/>
      <w:numFmt w:val="bullet"/>
      <w:lvlText w:val="•"/>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6514E">
      <w:start w:val="1"/>
      <w:numFmt w:val="bullet"/>
      <w:lvlText w:val="o"/>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0977A">
      <w:start w:val="1"/>
      <w:numFmt w:val="bullet"/>
      <w:lvlText w:val="▪"/>
      <w:lvlJc w:val="left"/>
      <w:pPr>
        <w:ind w:left="4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500490">
      <w:start w:val="1"/>
      <w:numFmt w:val="bullet"/>
      <w:lvlText w:val="•"/>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0D176">
      <w:start w:val="1"/>
      <w:numFmt w:val="bullet"/>
      <w:lvlText w:val="o"/>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B06530">
      <w:start w:val="1"/>
      <w:numFmt w:val="bullet"/>
      <w:lvlText w:val="▪"/>
      <w:lvlJc w:val="left"/>
      <w:pPr>
        <w:ind w:left="6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E5DF9"/>
    <w:multiLevelType w:val="hybridMultilevel"/>
    <w:tmpl w:val="DBDABD6E"/>
    <w:lvl w:ilvl="0" w:tplc="C26EA1E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84840">
      <w:start w:val="1"/>
      <w:numFmt w:val="bullet"/>
      <w:lvlText w:val="o"/>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4A0FF4">
      <w:start w:val="1"/>
      <w:numFmt w:val="bullet"/>
      <w:lvlText w:val="▪"/>
      <w:lvlJc w:val="left"/>
      <w:pPr>
        <w:ind w:left="2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8E57EA">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2FC78">
      <w:start w:val="1"/>
      <w:numFmt w:val="bullet"/>
      <w:lvlText w:val="o"/>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066D00">
      <w:start w:val="1"/>
      <w:numFmt w:val="bullet"/>
      <w:lvlText w:val="▪"/>
      <w:lvlJc w:val="left"/>
      <w:pPr>
        <w:ind w:left="4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080230">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62CDE">
      <w:start w:val="1"/>
      <w:numFmt w:val="bullet"/>
      <w:lvlText w:val="o"/>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2AE706">
      <w:start w:val="1"/>
      <w:numFmt w:val="bullet"/>
      <w:lvlText w:val="▪"/>
      <w:lvlJc w:val="left"/>
      <w:pPr>
        <w:ind w:left="6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C609BF"/>
    <w:multiLevelType w:val="hybridMultilevel"/>
    <w:tmpl w:val="202EC5F8"/>
    <w:lvl w:ilvl="0" w:tplc="7322562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46AFB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AC73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00EB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264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7ED8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4F8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8839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0A0C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8123F9"/>
    <w:multiLevelType w:val="hybridMultilevel"/>
    <w:tmpl w:val="7B9EFDC8"/>
    <w:lvl w:ilvl="0" w:tplc="A528641A">
      <w:start w:val="1"/>
      <w:numFmt w:val="bullet"/>
      <w:lvlText w:val="•"/>
      <w:lvlJc w:val="left"/>
      <w:pPr>
        <w:ind w:left="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87C7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347FFE">
      <w:start w:val="1"/>
      <w:numFmt w:val="bullet"/>
      <w:lvlText w:val="▪"/>
      <w:lvlJc w:val="left"/>
      <w:pPr>
        <w:ind w:left="2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78FAA8">
      <w:start w:val="1"/>
      <w:numFmt w:val="bullet"/>
      <w:lvlText w:val="•"/>
      <w:lvlJc w:val="left"/>
      <w:pPr>
        <w:ind w:left="2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8E6F76">
      <w:start w:val="1"/>
      <w:numFmt w:val="bullet"/>
      <w:lvlText w:val="o"/>
      <w:lvlJc w:val="left"/>
      <w:pPr>
        <w:ind w:left="3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646114">
      <w:start w:val="1"/>
      <w:numFmt w:val="bullet"/>
      <w:lvlText w:val="▪"/>
      <w:lvlJc w:val="left"/>
      <w:pPr>
        <w:ind w:left="4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FED19A">
      <w:start w:val="1"/>
      <w:numFmt w:val="bullet"/>
      <w:lvlText w:val="•"/>
      <w:lvlJc w:val="left"/>
      <w:pPr>
        <w:ind w:left="5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B0346C">
      <w:start w:val="1"/>
      <w:numFmt w:val="bullet"/>
      <w:lvlText w:val="o"/>
      <w:lvlJc w:val="left"/>
      <w:pPr>
        <w:ind w:left="5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FC949C">
      <w:start w:val="1"/>
      <w:numFmt w:val="bullet"/>
      <w:lvlText w:val="▪"/>
      <w:lvlJc w:val="left"/>
      <w:pPr>
        <w:ind w:left="6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194B8E"/>
    <w:multiLevelType w:val="hybridMultilevel"/>
    <w:tmpl w:val="894E1C2C"/>
    <w:lvl w:ilvl="0" w:tplc="173A49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FA20A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107C9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2C23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6046C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62C5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CF1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9B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245B2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CC613C"/>
    <w:multiLevelType w:val="hybridMultilevel"/>
    <w:tmpl w:val="1BF635B4"/>
    <w:lvl w:ilvl="0" w:tplc="AED6DA60">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2CE00">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015EE">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5442">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A80D8">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1E6902">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2DA96">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7AE49A">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7A3F44">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417F27"/>
    <w:multiLevelType w:val="hybridMultilevel"/>
    <w:tmpl w:val="7A2A3EAC"/>
    <w:lvl w:ilvl="0" w:tplc="B42C69C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4EF8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E8823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6257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C467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484856">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22BDD2">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667F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C80CD8">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433206"/>
    <w:multiLevelType w:val="hybridMultilevel"/>
    <w:tmpl w:val="9C5CDF20"/>
    <w:lvl w:ilvl="0" w:tplc="7F3A7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622BC">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9927130">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120E8E">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50992A">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2C6A1A2">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7B66498">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B2442A">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BDC3478">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1E372A"/>
    <w:multiLevelType w:val="hybridMultilevel"/>
    <w:tmpl w:val="1BCCDFAA"/>
    <w:lvl w:ilvl="0" w:tplc="08E45FB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ABCB8">
      <w:start w:val="1"/>
      <w:numFmt w:val="bullet"/>
      <w:lvlText w:val="o"/>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A853C0">
      <w:start w:val="1"/>
      <w:numFmt w:val="bullet"/>
      <w:lvlText w:val="▪"/>
      <w:lvlJc w:val="left"/>
      <w:pPr>
        <w:ind w:left="2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42AD56">
      <w:start w:val="1"/>
      <w:numFmt w:val="bullet"/>
      <w:lvlText w:val="•"/>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E69B0">
      <w:start w:val="1"/>
      <w:numFmt w:val="bullet"/>
      <w:lvlText w:val="o"/>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7242">
      <w:start w:val="1"/>
      <w:numFmt w:val="bullet"/>
      <w:lvlText w:val="▪"/>
      <w:lvlJc w:val="left"/>
      <w:pPr>
        <w:ind w:left="4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1842B4">
      <w:start w:val="1"/>
      <w:numFmt w:val="bullet"/>
      <w:lvlText w:val="•"/>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A1716">
      <w:start w:val="1"/>
      <w:numFmt w:val="bullet"/>
      <w:lvlText w:val="o"/>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BA566A">
      <w:start w:val="1"/>
      <w:numFmt w:val="bullet"/>
      <w:lvlText w:val="▪"/>
      <w:lvlJc w:val="left"/>
      <w:pPr>
        <w:ind w:left="6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5D0984"/>
    <w:multiLevelType w:val="hybridMultilevel"/>
    <w:tmpl w:val="6734C19E"/>
    <w:lvl w:ilvl="0" w:tplc="537898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21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DA62C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90F3D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248F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2CF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807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2DE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F4A2D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304116"/>
    <w:multiLevelType w:val="hybridMultilevel"/>
    <w:tmpl w:val="756ABD46"/>
    <w:lvl w:ilvl="0" w:tplc="9E489D1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9C985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AA4E6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9211B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FC39C8">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E03FB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67994">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878E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14A1F4">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333827"/>
    <w:multiLevelType w:val="hybridMultilevel"/>
    <w:tmpl w:val="FA5E9068"/>
    <w:lvl w:ilvl="0" w:tplc="5C3A7D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8DB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876A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B8A19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E1B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5EA60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9E1D7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8B8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8B88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AB03AA"/>
    <w:multiLevelType w:val="hybridMultilevel"/>
    <w:tmpl w:val="854AEE20"/>
    <w:lvl w:ilvl="0" w:tplc="CF48A6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A4E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1E95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EEA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28AE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C888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C9DC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A015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C9F5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2417762">
    <w:abstractNumId w:val="12"/>
  </w:num>
  <w:num w:numId="2" w16cid:durableId="842234195">
    <w:abstractNumId w:val="2"/>
  </w:num>
  <w:num w:numId="3" w16cid:durableId="719211140">
    <w:abstractNumId w:val="1"/>
  </w:num>
  <w:num w:numId="4" w16cid:durableId="716861254">
    <w:abstractNumId w:val="8"/>
  </w:num>
  <w:num w:numId="5" w16cid:durableId="705714907">
    <w:abstractNumId w:val="11"/>
  </w:num>
  <w:num w:numId="6" w16cid:durableId="1116220717">
    <w:abstractNumId w:val="0"/>
  </w:num>
  <w:num w:numId="7" w16cid:durableId="1166171636">
    <w:abstractNumId w:val="3"/>
  </w:num>
  <w:num w:numId="8" w16cid:durableId="2145468072">
    <w:abstractNumId w:val="7"/>
  </w:num>
  <w:num w:numId="9" w16cid:durableId="102191237">
    <w:abstractNumId w:val="10"/>
  </w:num>
  <w:num w:numId="10" w16cid:durableId="87236335">
    <w:abstractNumId w:val="9"/>
  </w:num>
  <w:num w:numId="11" w16cid:durableId="515851128">
    <w:abstractNumId w:val="5"/>
  </w:num>
  <w:num w:numId="12" w16cid:durableId="1118838022">
    <w:abstractNumId w:val="4"/>
  </w:num>
  <w:num w:numId="13" w16cid:durableId="345908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F0"/>
    <w:rsid w:val="001A25EE"/>
    <w:rsid w:val="00273FF0"/>
    <w:rsid w:val="002E7625"/>
    <w:rsid w:val="00B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5936"/>
  <w15:docId w15:val="{9F6D7E30-2B06-44BB-9196-F927CFE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9" w:line="259" w:lineRule="auto"/>
      <w:ind w:left="4032" w:right="3232" w:hanging="64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gc.bm/" TargetMode="External"/><Relationship Id="rId4" Type="http://schemas.openxmlformats.org/officeDocument/2006/relationships/webSettings" Target="webSettings.xml"/><Relationship Id="rId9" Type="http://schemas.openxmlformats.org/officeDocument/2006/relationships/hyperlink" Target="https://www.bgc.b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1</dc:creator>
  <cp:keywords/>
  <cp:lastModifiedBy>Nathan Lawrence</cp:lastModifiedBy>
  <cp:revision>2</cp:revision>
  <dcterms:created xsi:type="dcterms:W3CDTF">2025-08-07T12:43:00Z</dcterms:created>
  <dcterms:modified xsi:type="dcterms:W3CDTF">2025-08-07T12:43:00Z</dcterms:modified>
</cp:coreProperties>
</file>